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00723FC9">
        <w:tc>
          <w:tcPr>
            <w:tcW w:w="2830" w:type="dxa"/>
            <w:tcBorders>
              <w:top w:val="single" w:sz="8" w:space="0" w:color="0070F1"/>
              <w:bottom w:val="single" w:sz="8" w:space="0" w:color="0070F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bottom w:val="single" w:sz="8" w:space="0" w:color="0070F1"/>
            </w:tcBorders>
            <w:shd w:val="clear" w:color="auto" w:fill="FFFFFF" w:themeFill="background1"/>
            <w:vAlign w:val="center"/>
          </w:tcPr>
          <w:p w14:paraId="0E558514" w14:textId="76A4B8EB" w:rsidR="00577782" w:rsidRPr="00B71144" w:rsidRDefault="00B25EBB" w:rsidP="001C149D">
            <w:pPr>
              <w:spacing w:before="120"/>
              <w:rPr>
                <w:b/>
                <w:bCs/>
              </w:rPr>
            </w:pPr>
            <w:r>
              <w:rPr>
                <w:b/>
                <w:bCs/>
              </w:rPr>
              <w:t>Early Intervention Product Lead</w:t>
            </w:r>
          </w:p>
        </w:tc>
      </w:tr>
      <w:tr w:rsidR="006A3AFE" w14:paraId="15ADCA9C" w14:textId="77777777" w:rsidTr="00723FC9">
        <w:tc>
          <w:tcPr>
            <w:tcW w:w="2830" w:type="dxa"/>
            <w:tcBorders>
              <w:top w:val="single" w:sz="8" w:space="0" w:color="0070F1"/>
              <w:bottom w:val="single" w:sz="4"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8" w:space="0" w:color="0070F1"/>
              <w:bottom w:val="single" w:sz="4" w:space="0" w:color="0070F1" w:themeColor="accent1"/>
            </w:tcBorders>
            <w:shd w:val="clear" w:color="auto" w:fill="FFFFFF" w:themeFill="background1"/>
            <w:vAlign w:val="center"/>
          </w:tcPr>
          <w:p w14:paraId="1FB59F52" w14:textId="6AB519A7" w:rsidR="006A3AFE" w:rsidRDefault="00B25EBB" w:rsidP="001C149D">
            <w:pPr>
              <w:spacing w:before="120"/>
            </w:pPr>
            <w:r>
              <w:t>Head of Suicide Prevention and Early Intervention</w:t>
            </w:r>
          </w:p>
        </w:tc>
      </w:tr>
      <w:tr w:rsidR="00EC64E7" w14:paraId="353F2BC5" w14:textId="77777777" w:rsidTr="00723FC9">
        <w:tc>
          <w:tcPr>
            <w:tcW w:w="2830" w:type="dxa"/>
            <w:tcBorders>
              <w:top w:val="single" w:sz="4" w:space="0" w:color="0070F1" w:themeColor="accent1"/>
            </w:tcBorders>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tcBorders>
              <w:top w:val="single" w:sz="4" w:space="0" w:color="0070F1" w:themeColor="accent1"/>
            </w:tcBorders>
            <w:shd w:val="clear" w:color="auto" w:fill="FFFFFF" w:themeFill="background1"/>
            <w:vAlign w:val="center"/>
          </w:tcPr>
          <w:p w14:paraId="0DCCDE24" w14:textId="54C8FF4A" w:rsidR="00EC64E7" w:rsidRDefault="00EC64E7" w:rsidP="001C149D">
            <w:pPr>
              <w:spacing w:before="120"/>
            </w:pPr>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tcBorders>
              <w:top w:val="single" w:sz="4" w:space="0" w:color="0070F1" w:themeColor="accent1"/>
            </w:tcBorders>
            <w:shd w:val="clear" w:color="auto" w:fill="FFFFFF" w:themeFill="background1"/>
            <w:vAlign w:val="center"/>
          </w:tcPr>
          <w:p w14:paraId="0772C4A0" w14:textId="274382BD" w:rsidR="00EC64E7" w:rsidRDefault="00EC64E7" w:rsidP="001C149D">
            <w:pPr>
              <w:spacing w:before="120"/>
            </w:pPr>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tcBorders>
              <w:top w:val="single" w:sz="4" w:space="0" w:color="0070F1" w:themeColor="accent1"/>
            </w:tcBorders>
            <w:shd w:val="clear" w:color="auto" w:fill="FFFFFF" w:themeFill="background1"/>
            <w:vAlign w:val="center"/>
          </w:tcPr>
          <w:p w14:paraId="58EDF4C8" w14:textId="01F66949" w:rsidR="00EC64E7" w:rsidRDefault="00EC64E7" w:rsidP="001C149D">
            <w:pPr>
              <w:spacing w:before="120"/>
            </w:pPr>
            <w:r>
              <w:t xml:space="preserve">3 </w:t>
            </w:r>
            <w:sdt>
              <w:sdtPr>
                <w:id w:val="-2126386698"/>
                <w14:checkbox>
                  <w14:checked w14:val="1"/>
                  <w14:checkedState w14:val="00FC" w14:font="Wingdings"/>
                  <w14:uncheckedState w14:val="2610" w14:font="MS Gothic"/>
                </w14:checkbox>
              </w:sdtPr>
              <w:sdtEndPr/>
              <w:sdtContent>
                <w:r w:rsidR="00D9063F">
                  <w:sym w:font="Wingdings" w:char="F0FC"/>
                </w:r>
              </w:sdtContent>
            </w:sdt>
          </w:p>
        </w:tc>
        <w:tc>
          <w:tcPr>
            <w:tcW w:w="1360" w:type="dxa"/>
            <w:tcBorders>
              <w:top w:val="single" w:sz="4" w:space="0" w:color="0070F1" w:themeColor="accent1"/>
            </w:tcBorders>
            <w:shd w:val="clear" w:color="auto" w:fill="FFFFFF" w:themeFill="background1"/>
            <w:vAlign w:val="center"/>
          </w:tcPr>
          <w:p w14:paraId="3BD48183" w14:textId="40D37D81" w:rsidR="00EC64E7" w:rsidRDefault="00EC64E7" w:rsidP="001C149D">
            <w:pPr>
              <w:spacing w:before="120"/>
            </w:pPr>
            <w:r>
              <w:t xml:space="preserve">4 </w:t>
            </w:r>
            <w:sdt>
              <w:sdtPr>
                <w:id w:val="-1711181003"/>
                <w15:color w:val="0070F1"/>
                <w14:checkbox>
                  <w14:checked w14:val="0"/>
                  <w14:checkedState w14:val="00FC" w14:font="Wingdings"/>
                  <w14:uncheckedState w14:val="2610" w14:font="MS Gothic"/>
                </w14:checkbox>
              </w:sdtPr>
              <w:sdtEndPr/>
              <w:sdtContent>
                <w:r w:rsidR="00D9063F">
                  <w:rPr>
                    <w:rFonts w:ascii="MS Gothic" w:eastAsia="MS Gothic" w:hAnsi="MS Gothic" w:hint="eastAsia"/>
                  </w:rPr>
                  <w:t>☐</w:t>
                </w:r>
              </w:sdtContent>
            </w:sdt>
          </w:p>
        </w:tc>
        <w:tc>
          <w:tcPr>
            <w:tcW w:w="1360" w:type="dxa"/>
            <w:tcBorders>
              <w:top w:val="single" w:sz="4" w:space="0" w:color="0070F1" w:themeColor="accent1"/>
            </w:tcBorders>
            <w:shd w:val="clear" w:color="auto" w:fill="FFFFFF" w:themeFill="background1"/>
            <w:vAlign w:val="center"/>
          </w:tcPr>
          <w:p w14:paraId="3A2EECCC" w14:textId="19668A1B" w:rsidR="00EC64E7" w:rsidRDefault="00EC64E7" w:rsidP="001C149D">
            <w:pPr>
              <w:spacing w:before="120"/>
            </w:pPr>
          </w:p>
        </w:tc>
      </w:tr>
      <w:tr w:rsidR="00577782" w14:paraId="47F0A737" w14:textId="77777777" w:rsidTr="001A7AE8">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1"/>
            <w:vAlign w:val="center"/>
          </w:tcPr>
          <w:p w14:paraId="73D83185" w14:textId="3680BF9B" w:rsidR="00577782" w:rsidRDefault="00B25EBB" w:rsidP="001C149D">
            <w:pPr>
              <w:spacing w:before="120"/>
            </w:pPr>
            <w:r>
              <w:t>Suicide Prevention &amp; Early Intervention/</w:t>
            </w:r>
            <w:r w:rsidR="00975546">
              <w:t>Supports &amp; Services</w:t>
            </w:r>
          </w:p>
        </w:tc>
      </w:tr>
      <w:tr w:rsidR="009E01C1" w14:paraId="2A0524F8" w14:textId="77777777" w:rsidTr="001A7AE8">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1"/>
            <w:vAlign w:val="center"/>
          </w:tcPr>
          <w:p w14:paraId="416DBD54" w14:textId="16C65596" w:rsidR="001A7AE8" w:rsidRDefault="001A7AE8" w:rsidP="001C149D">
            <w:pPr>
              <w:spacing w:before="120"/>
            </w:pPr>
            <w:r>
              <w:t>Onsite at the Hub in Melbourne CBD or Hybrid</w:t>
            </w:r>
          </w:p>
        </w:tc>
      </w:tr>
      <w:tr w:rsidR="001A7AE8" w14:paraId="5D785AE2" w14:textId="77777777" w:rsidTr="001A7AE8">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1"/>
            <w:vAlign w:val="center"/>
          </w:tcPr>
          <w:p w14:paraId="1A0C1B19" w14:textId="4BBDBF9D" w:rsidR="001A7AE8" w:rsidRDefault="005A70BC" w:rsidP="001C149D">
            <w:pPr>
              <w:spacing w:before="120"/>
            </w:pPr>
            <w:r>
              <w:t>Fixed Term</w:t>
            </w:r>
          </w:p>
        </w:tc>
      </w:tr>
      <w:tr w:rsidR="00577782" w14:paraId="2A33BAF5" w14:textId="77777777" w:rsidTr="001A7AE8">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1"/>
            <w:vAlign w:val="center"/>
          </w:tcPr>
          <w:p w14:paraId="7D6BC363" w14:textId="022A607E" w:rsidR="00577782" w:rsidRPr="00934904" w:rsidRDefault="007A177E" w:rsidP="001C149D">
            <w:pPr>
              <w:spacing w:before="120"/>
            </w:pPr>
            <w:r>
              <w:t>2</w:t>
            </w:r>
          </w:p>
        </w:tc>
      </w:tr>
      <w:tr w:rsidR="00C729E9" w14:paraId="5A7BE5E9" w14:textId="77777777" w:rsidTr="00332AB7">
        <w:trPr>
          <w:trHeight w:val="699"/>
        </w:trPr>
        <w:tc>
          <w:tcPr>
            <w:tcW w:w="9628" w:type="dxa"/>
            <w:gridSpan w:val="6"/>
            <w:shd w:val="clear" w:color="auto" w:fill="FFFFFF" w:themeFill="background1"/>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009E01C1">
        <w:trPr>
          <w:trHeight w:val="569"/>
        </w:trPr>
        <w:tc>
          <w:tcPr>
            <w:tcW w:w="9628" w:type="dxa"/>
            <w:gridSpan w:val="6"/>
            <w:tcBorders>
              <w:top w:val="single" w:sz="4" w:space="0" w:color="0070F1" w:themeColor="accent1"/>
            </w:tcBorders>
            <w:shd w:val="clear" w:color="auto" w:fill="FFFFFF" w:themeFill="background1"/>
          </w:tcPr>
          <w:p w14:paraId="27036051" w14:textId="269E04F9" w:rsidR="00777DCD" w:rsidRDefault="00777DCD" w:rsidP="00CC1E4C">
            <w:pPr>
              <w:pStyle w:val="Tableheading"/>
            </w:pPr>
            <w:r>
              <w:t>About the role</w:t>
            </w:r>
          </w:p>
        </w:tc>
      </w:tr>
      <w:tr w:rsidR="002C4D09" w14:paraId="0264BB6C" w14:textId="77777777" w:rsidTr="00CD0AE7">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lastRenderedPageBreak/>
              <w:t>Role description</w:t>
            </w:r>
          </w:p>
        </w:tc>
        <w:tc>
          <w:tcPr>
            <w:tcW w:w="6798" w:type="dxa"/>
            <w:gridSpan w:val="5"/>
            <w:shd w:val="clear" w:color="auto" w:fill="FFFFFF" w:themeFill="background1"/>
            <w:vAlign w:val="center"/>
          </w:tcPr>
          <w:p w14:paraId="642468A1" w14:textId="3E3EA2BD" w:rsidR="00620C88" w:rsidRPr="008F62CF" w:rsidRDefault="00620C88" w:rsidP="008F62CF">
            <w:pPr>
              <w:pStyle w:val="TableParagraph"/>
              <w:spacing w:after="120"/>
              <w:ind w:right="86"/>
              <w:rPr>
                <w:rFonts w:ascii="Calibri" w:hAnsi="Calibri" w:cs="Calibri"/>
              </w:rPr>
            </w:pPr>
            <w:r w:rsidRPr="008F62CF">
              <w:rPr>
                <w:rFonts w:ascii="Calibri" w:hAnsi="Calibri" w:cs="Calibri"/>
                <w:color w:val="030303"/>
                <w:w w:val="105"/>
              </w:rPr>
              <w:t>The</w:t>
            </w:r>
            <w:r w:rsidRPr="008F62CF">
              <w:rPr>
                <w:rFonts w:ascii="Calibri" w:hAnsi="Calibri" w:cs="Calibri"/>
                <w:color w:val="030303"/>
                <w:spacing w:val="-2"/>
                <w:w w:val="105"/>
              </w:rPr>
              <w:t xml:space="preserve"> </w:t>
            </w:r>
            <w:r w:rsidRPr="008F62CF">
              <w:rPr>
                <w:rFonts w:ascii="Calibri" w:hAnsi="Calibri" w:cs="Calibri"/>
                <w:color w:val="030303"/>
                <w:w w:val="105"/>
              </w:rPr>
              <w:t>Services and</w:t>
            </w:r>
            <w:r w:rsidRPr="008F62CF">
              <w:rPr>
                <w:rFonts w:ascii="Calibri" w:hAnsi="Calibri" w:cs="Calibri"/>
                <w:color w:val="030303"/>
                <w:spacing w:val="-3"/>
                <w:w w:val="105"/>
              </w:rPr>
              <w:t xml:space="preserve"> </w:t>
            </w:r>
            <w:r w:rsidRPr="008F62CF">
              <w:rPr>
                <w:rFonts w:ascii="Calibri" w:hAnsi="Calibri" w:cs="Calibri"/>
                <w:color w:val="030303"/>
                <w:w w:val="105"/>
              </w:rPr>
              <w:t xml:space="preserve">Support </w:t>
            </w:r>
            <w:r w:rsidR="001E67B6">
              <w:rPr>
                <w:rFonts w:ascii="Calibri" w:hAnsi="Calibri" w:cs="Calibri"/>
                <w:color w:val="030303"/>
                <w:w w:val="105"/>
              </w:rPr>
              <w:t>Group</w:t>
            </w:r>
            <w:r w:rsidR="001E67B6" w:rsidRPr="008F62CF">
              <w:rPr>
                <w:rFonts w:ascii="Calibri" w:hAnsi="Calibri" w:cs="Calibri"/>
                <w:color w:val="030303"/>
                <w:w w:val="105"/>
              </w:rPr>
              <w:t xml:space="preserve"> </w:t>
            </w:r>
            <w:r w:rsidRPr="008F62CF">
              <w:rPr>
                <w:rFonts w:ascii="Calibri" w:hAnsi="Calibri" w:cs="Calibri"/>
                <w:color w:val="030303"/>
                <w:w w:val="105"/>
              </w:rPr>
              <w:t>at Beyond Blue delivers effective early intervention, treatment and recovery-focused mental health and suicide prevention supports and</w:t>
            </w:r>
            <w:r w:rsidRPr="008F62CF">
              <w:rPr>
                <w:rFonts w:ascii="Calibri" w:hAnsi="Calibri" w:cs="Calibri"/>
                <w:color w:val="030303"/>
                <w:spacing w:val="-10"/>
                <w:w w:val="105"/>
              </w:rPr>
              <w:t xml:space="preserve"> </w:t>
            </w:r>
            <w:r w:rsidRPr="008F62CF">
              <w:rPr>
                <w:rFonts w:ascii="Calibri" w:hAnsi="Calibri" w:cs="Calibri"/>
                <w:color w:val="030303"/>
                <w:w w:val="105"/>
              </w:rPr>
              <w:t>services,</w:t>
            </w:r>
            <w:r w:rsidRPr="008F62CF">
              <w:rPr>
                <w:rFonts w:ascii="Calibri" w:hAnsi="Calibri" w:cs="Calibri"/>
                <w:color w:val="030303"/>
                <w:spacing w:val="-2"/>
                <w:w w:val="105"/>
              </w:rPr>
              <w:t xml:space="preserve"> </w:t>
            </w:r>
            <w:r w:rsidRPr="008F62CF">
              <w:rPr>
                <w:rFonts w:ascii="Calibri" w:hAnsi="Calibri" w:cs="Calibri"/>
                <w:color w:val="030303"/>
                <w:w w:val="105"/>
              </w:rPr>
              <w:t>so</w:t>
            </w:r>
            <w:r w:rsidRPr="008F62CF">
              <w:rPr>
                <w:rFonts w:ascii="Calibri" w:hAnsi="Calibri" w:cs="Calibri"/>
                <w:color w:val="030303"/>
                <w:spacing w:val="-6"/>
                <w:w w:val="105"/>
              </w:rPr>
              <w:t xml:space="preserve"> </w:t>
            </w:r>
            <w:r w:rsidRPr="008F62CF">
              <w:rPr>
                <w:rFonts w:ascii="Calibri" w:hAnsi="Calibri" w:cs="Calibri"/>
                <w:color w:val="030303"/>
                <w:w w:val="105"/>
              </w:rPr>
              <w:t>people</w:t>
            </w:r>
            <w:r w:rsidRPr="008F62CF">
              <w:rPr>
                <w:rFonts w:ascii="Calibri" w:hAnsi="Calibri" w:cs="Calibri"/>
                <w:color w:val="030303"/>
                <w:spacing w:val="-7"/>
                <w:w w:val="105"/>
              </w:rPr>
              <w:t xml:space="preserve"> </w:t>
            </w:r>
            <w:r w:rsidRPr="008F62CF">
              <w:rPr>
                <w:rFonts w:ascii="Calibri" w:hAnsi="Calibri" w:cs="Calibri"/>
                <w:color w:val="030303"/>
                <w:w w:val="105"/>
              </w:rPr>
              <w:t>can</w:t>
            </w:r>
            <w:r w:rsidRPr="008F62CF">
              <w:rPr>
                <w:rFonts w:ascii="Calibri" w:hAnsi="Calibri" w:cs="Calibri"/>
                <w:color w:val="030303"/>
                <w:spacing w:val="-6"/>
                <w:w w:val="105"/>
              </w:rPr>
              <w:t xml:space="preserve"> </w:t>
            </w:r>
            <w:r w:rsidRPr="008F62CF">
              <w:rPr>
                <w:rFonts w:ascii="Calibri" w:hAnsi="Calibri" w:cs="Calibri"/>
                <w:color w:val="030303"/>
                <w:w w:val="105"/>
              </w:rPr>
              <w:t>receive help</w:t>
            </w:r>
            <w:r w:rsidRPr="008F62CF">
              <w:rPr>
                <w:rFonts w:ascii="Calibri" w:hAnsi="Calibri" w:cs="Calibri"/>
                <w:color w:val="030303"/>
                <w:spacing w:val="-9"/>
                <w:w w:val="105"/>
              </w:rPr>
              <w:t xml:space="preserve"> </w:t>
            </w:r>
            <w:r w:rsidRPr="008F62CF">
              <w:rPr>
                <w:rFonts w:ascii="Calibri" w:hAnsi="Calibri" w:cs="Calibri"/>
                <w:color w:val="030303"/>
                <w:w w:val="105"/>
              </w:rPr>
              <w:t>early</w:t>
            </w:r>
            <w:r w:rsidRPr="008F62CF">
              <w:rPr>
                <w:rFonts w:ascii="Calibri" w:hAnsi="Calibri" w:cs="Calibri"/>
                <w:color w:val="030303"/>
                <w:spacing w:val="-3"/>
                <w:w w:val="105"/>
              </w:rPr>
              <w:t xml:space="preserve"> </w:t>
            </w:r>
            <w:r w:rsidRPr="008F62CF">
              <w:rPr>
                <w:rFonts w:ascii="Calibri" w:hAnsi="Calibri" w:cs="Calibri"/>
                <w:color w:val="030303"/>
                <w:w w:val="105"/>
              </w:rPr>
              <w:t>and</w:t>
            </w:r>
            <w:r w:rsidRPr="008F62CF">
              <w:rPr>
                <w:rFonts w:ascii="Calibri" w:hAnsi="Calibri" w:cs="Calibri"/>
                <w:color w:val="030303"/>
                <w:spacing w:val="-6"/>
                <w:w w:val="105"/>
              </w:rPr>
              <w:t xml:space="preserve"> </w:t>
            </w:r>
            <w:r w:rsidRPr="008F62CF">
              <w:rPr>
                <w:rFonts w:ascii="Calibri" w:hAnsi="Calibri" w:cs="Calibri"/>
                <w:color w:val="030303"/>
                <w:w w:val="105"/>
              </w:rPr>
              <w:t>recover quickly to ensure their best possible mental health.</w:t>
            </w:r>
          </w:p>
          <w:p w14:paraId="131527BC" w14:textId="47A658A7" w:rsidR="00620C88" w:rsidRPr="008F62CF" w:rsidRDefault="00620C88" w:rsidP="008F62CF">
            <w:pPr>
              <w:pStyle w:val="TableParagraph"/>
              <w:spacing w:after="120"/>
              <w:ind w:right="74"/>
              <w:rPr>
                <w:rFonts w:ascii="Calibri" w:hAnsi="Calibri" w:cs="Calibri"/>
                <w:color w:val="030303"/>
                <w:w w:val="105"/>
              </w:rPr>
            </w:pPr>
            <w:r w:rsidRPr="008F62CF">
              <w:rPr>
                <w:rFonts w:ascii="Calibri" w:hAnsi="Calibri" w:cs="Calibri"/>
                <w:color w:val="030303"/>
                <w:w w:val="105"/>
              </w:rPr>
              <w:t>The</w:t>
            </w:r>
            <w:r w:rsidRPr="008F62CF">
              <w:rPr>
                <w:rFonts w:ascii="Calibri" w:hAnsi="Calibri" w:cs="Calibri"/>
                <w:color w:val="030303"/>
                <w:spacing w:val="-7"/>
                <w:w w:val="105"/>
              </w:rPr>
              <w:t xml:space="preserve"> </w:t>
            </w:r>
            <w:r w:rsidRPr="008F62CF">
              <w:rPr>
                <w:rFonts w:ascii="Calibri" w:hAnsi="Calibri" w:cs="Calibri"/>
                <w:color w:val="030303"/>
                <w:w w:val="105"/>
              </w:rPr>
              <w:t>NewAccess team</w:t>
            </w:r>
            <w:r w:rsidRPr="008F62CF">
              <w:rPr>
                <w:rFonts w:ascii="Calibri" w:hAnsi="Calibri" w:cs="Calibri"/>
                <w:color w:val="030303"/>
                <w:spacing w:val="-12"/>
                <w:w w:val="105"/>
              </w:rPr>
              <w:t xml:space="preserve"> </w:t>
            </w:r>
            <w:r w:rsidRPr="008F62CF">
              <w:rPr>
                <w:rFonts w:ascii="Calibri" w:hAnsi="Calibri" w:cs="Calibri"/>
                <w:color w:val="030303"/>
                <w:w w:val="105"/>
              </w:rPr>
              <w:t>is</w:t>
            </w:r>
            <w:r w:rsidRPr="008F62CF">
              <w:rPr>
                <w:rFonts w:ascii="Calibri" w:hAnsi="Calibri" w:cs="Calibri"/>
                <w:color w:val="030303"/>
                <w:spacing w:val="-13"/>
                <w:w w:val="105"/>
              </w:rPr>
              <w:t xml:space="preserve"> </w:t>
            </w:r>
            <w:r w:rsidRPr="008F62CF">
              <w:rPr>
                <w:rFonts w:ascii="Calibri" w:hAnsi="Calibri" w:cs="Calibri"/>
                <w:color w:val="030303"/>
                <w:w w:val="105"/>
              </w:rPr>
              <w:t>working</w:t>
            </w:r>
            <w:r w:rsidRPr="008F62CF">
              <w:rPr>
                <w:rFonts w:ascii="Calibri" w:hAnsi="Calibri" w:cs="Calibri"/>
                <w:color w:val="030303"/>
                <w:spacing w:val="-14"/>
                <w:w w:val="105"/>
              </w:rPr>
              <w:t xml:space="preserve"> </w:t>
            </w:r>
            <w:r w:rsidRPr="008F62CF">
              <w:rPr>
                <w:rFonts w:ascii="Calibri" w:hAnsi="Calibri" w:cs="Calibri"/>
                <w:color w:val="030303"/>
                <w:w w:val="105"/>
              </w:rPr>
              <w:t>towards</w:t>
            </w:r>
            <w:r w:rsidRPr="008F62CF">
              <w:rPr>
                <w:rFonts w:ascii="Calibri" w:hAnsi="Calibri" w:cs="Calibri"/>
                <w:color w:val="030303"/>
                <w:spacing w:val="-12"/>
                <w:w w:val="105"/>
              </w:rPr>
              <w:t xml:space="preserve"> </w:t>
            </w:r>
            <w:r w:rsidRPr="008F62CF">
              <w:rPr>
                <w:rFonts w:ascii="Calibri" w:hAnsi="Calibri" w:cs="Calibri"/>
                <w:color w:val="030303"/>
                <w:w w:val="105"/>
              </w:rPr>
              <w:t>the</w:t>
            </w:r>
            <w:r w:rsidRPr="008F62CF">
              <w:rPr>
                <w:rFonts w:ascii="Calibri" w:hAnsi="Calibri" w:cs="Calibri"/>
                <w:color w:val="030303"/>
                <w:spacing w:val="-14"/>
                <w:w w:val="105"/>
              </w:rPr>
              <w:t xml:space="preserve"> </w:t>
            </w:r>
            <w:r w:rsidRPr="008F62CF">
              <w:rPr>
                <w:rFonts w:ascii="Calibri" w:hAnsi="Calibri" w:cs="Calibri"/>
                <w:color w:val="030303"/>
                <w:w w:val="105"/>
              </w:rPr>
              <w:t>vision</w:t>
            </w:r>
            <w:r w:rsidRPr="008F62CF">
              <w:rPr>
                <w:rFonts w:ascii="Calibri" w:hAnsi="Calibri" w:cs="Calibri"/>
                <w:color w:val="030303"/>
                <w:spacing w:val="-13"/>
                <w:w w:val="105"/>
              </w:rPr>
              <w:t xml:space="preserve"> </w:t>
            </w:r>
            <w:r w:rsidRPr="008F62CF">
              <w:rPr>
                <w:rFonts w:ascii="Calibri" w:hAnsi="Calibri" w:cs="Calibri"/>
                <w:color w:val="030303"/>
                <w:w w:val="105"/>
              </w:rPr>
              <w:t>of</w:t>
            </w:r>
            <w:r w:rsidRPr="008F62CF">
              <w:rPr>
                <w:rFonts w:ascii="Calibri" w:hAnsi="Calibri" w:cs="Calibri"/>
                <w:color w:val="030303"/>
                <w:spacing w:val="-4"/>
                <w:w w:val="105"/>
              </w:rPr>
              <w:t xml:space="preserve"> </w:t>
            </w:r>
            <w:r w:rsidRPr="008F62CF">
              <w:rPr>
                <w:rFonts w:ascii="Calibri" w:hAnsi="Calibri" w:cs="Calibri"/>
                <w:color w:val="030303"/>
                <w:w w:val="105"/>
              </w:rPr>
              <w:t>a</w:t>
            </w:r>
            <w:r w:rsidRPr="008F62CF">
              <w:rPr>
                <w:rFonts w:ascii="Calibri" w:hAnsi="Calibri" w:cs="Calibri"/>
                <w:color w:val="030303"/>
                <w:spacing w:val="-4"/>
                <w:w w:val="105"/>
              </w:rPr>
              <w:t xml:space="preserve"> </w:t>
            </w:r>
            <w:r w:rsidRPr="008F62CF">
              <w:rPr>
                <w:rFonts w:ascii="Calibri" w:hAnsi="Calibri" w:cs="Calibri"/>
                <w:color w:val="030303"/>
                <w:w w:val="105"/>
              </w:rPr>
              <w:t>fully</w:t>
            </w:r>
            <w:r w:rsidRPr="008F62CF">
              <w:rPr>
                <w:rFonts w:ascii="Calibri" w:hAnsi="Calibri" w:cs="Calibri"/>
                <w:color w:val="030303"/>
                <w:spacing w:val="-9"/>
                <w:w w:val="105"/>
              </w:rPr>
              <w:t xml:space="preserve"> </w:t>
            </w:r>
            <w:r w:rsidRPr="008F62CF">
              <w:rPr>
                <w:rFonts w:ascii="Calibri" w:hAnsi="Calibri" w:cs="Calibri"/>
                <w:color w:val="030303"/>
                <w:w w:val="105"/>
              </w:rPr>
              <w:t>funded</w:t>
            </w:r>
            <w:r w:rsidRPr="008F62CF">
              <w:rPr>
                <w:rFonts w:ascii="Calibri" w:hAnsi="Calibri" w:cs="Calibri"/>
                <w:color w:val="030303"/>
                <w:spacing w:val="-2"/>
                <w:w w:val="105"/>
              </w:rPr>
              <w:t xml:space="preserve"> </w:t>
            </w:r>
            <w:r w:rsidRPr="008F62CF">
              <w:rPr>
                <w:rFonts w:ascii="Calibri" w:hAnsi="Calibri" w:cs="Calibri"/>
                <w:color w:val="030303"/>
                <w:w w:val="105"/>
              </w:rPr>
              <w:t>national</w:t>
            </w:r>
            <w:r w:rsidRPr="008F62CF">
              <w:rPr>
                <w:rFonts w:ascii="Calibri" w:hAnsi="Calibri" w:cs="Calibri"/>
                <w:color w:val="030303"/>
                <w:spacing w:val="-6"/>
                <w:w w:val="105"/>
              </w:rPr>
              <w:t xml:space="preserve"> </w:t>
            </w:r>
            <w:r w:rsidRPr="008F62CF">
              <w:rPr>
                <w:rFonts w:ascii="Calibri" w:hAnsi="Calibri" w:cs="Calibri"/>
                <w:color w:val="030303"/>
                <w:w w:val="105"/>
              </w:rPr>
              <w:t xml:space="preserve">scale up of NewAccess available to all Australians. This aligns with the Beyond 2020 objectives of extending opportunities for low intensity support and influencing changes through policy, </w:t>
            </w:r>
            <w:r w:rsidR="008F62CF" w:rsidRPr="008F62CF">
              <w:rPr>
                <w:rFonts w:ascii="Calibri" w:hAnsi="Calibri" w:cs="Calibri"/>
                <w:color w:val="030303"/>
                <w:w w:val="105"/>
              </w:rPr>
              <w:t>advocacy,</w:t>
            </w:r>
            <w:r w:rsidRPr="008F62CF">
              <w:rPr>
                <w:rFonts w:ascii="Calibri" w:hAnsi="Calibri" w:cs="Calibri"/>
                <w:color w:val="030303"/>
                <w:w w:val="105"/>
              </w:rPr>
              <w:t xml:space="preserve"> and research. </w:t>
            </w:r>
            <w:r w:rsidR="008A7CA3">
              <w:rPr>
                <w:rFonts w:ascii="Calibri" w:hAnsi="Calibri" w:cs="Calibri"/>
                <w:color w:val="030303"/>
                <w:w w:val="105"/>
              </w:rPr>
              <w:t xml:space="preserve">Beyond Blue’s </w:t>
            </w:r>
            <w:r w:rsidRPr="008F62CF">
              <w:rPr>
                <w:rFonts w:ascii="Calibri" w:hAnsi="Calibri" w:cs="Calibri"/>
                <w:color w:val="030303"/>
                <w:w w:val="105"/>
              </w:rPr>
              <w:t xml:space="preserve">NewAccess </w:t>
            </w:r>
            <w:r w:rsidR="008A7CA3">
              <w:rPr>
                <w:rFonts w:ascii="Calibri" w:hAnsi="Calibri" w:cs="Calibri"/>
                <w:color w:val="030303"/>
                <w:w w:val="105"/>
              </w:rPr>
              <w:t>program</w:t>
            </w:r>
            <w:r w:rsidR="005F29AF">
              <w:rPr>
                <w:rFonts w:ascii="Calibri" w:hAnsi="Calibri" w:cs="Calibri"/>
                <w:color w:val="030303"/>
                <w:w w:val="105"/>
              </w:rPr>
              <w:t>s</w:t>
            </w:r>
            <w:r w:rsidR="008A7CA3">
              <w:rPr>
                <w:rFonts w:ascii="Calibri" w:hAnsi="Calibri" w:cs="Calibri"/>
                <w:color w:val="030303"/>
                <w:w w:val="105"/>
              </w:rPr>
              <w:t xml:space="preserve"> </w:t>
            </w:r>
            <w:r w:rsidR="005F29AF">
              <w:rPr>
                <w:rFonts w:ascii="Calibri" w:hAnsi="Calibri" w:cs="Calibri"/>
                <w:color w:val="030303"/>
                <w:w w:val="105"/>
              </w:rPr>
              <w:t>are tailored</w:t>
            </w:r>
            <w:r w:rsidRPr="008F62CF">
              <w:rPr>
                <w:rFonts w:ascii="Calibri" w:hAnsi="Calibri" w:cs="Calibri"/>
                <w:color w:val="030303"/>
                <w:w w:val="105"/>
              </w:rPr>
              <w:t xml:space="preserve"> </w:t>
            </w:r>
            <w:r w:rsidR="00E61A48">
              <w:rPr>
                <w:rFonts w:ascii="Calibri" w:hAnsi="Calibri" w:cs="Calibri"/>
                <w:color w:val="030303"/>
                <w:w w:val="105"/>
              </w:rPr>
              <w:t>low intensity program</w:t>
            </w:r>
            <w:r w:rsidR="005F29AF">
              <w:rPr>
                <w:rFonts w:ascii="Calibri" w:hAnsi="Calibri" w:cs="Calibri"/>
                <w:color w:val="030303"/>
                <w:w w:val="105"/>
              </w:rPr>
              <w:t>s</w:t>
            </w:r>
            <w:r w:rsidRPr="008F62CF">
              <w:rPr>
                <w:rFonts w:ascii="Calibri" w:hAnsi="Calibri" w:cs="Calibri"/>
                <w:color w:val="030303"/>
                <w:w w:val="105"/>
              </w:rPr>
              <w:t xml:space="preserve"> </w:t>
            </w:r>
            <w:r w:rsidR="003B1705">
              <w:rPr>
                <w:rFonts w:ascii="Calibri" w:hAnsi="Calibri" w:cs="Calibri"/>
                <w:color w:val="030303"/>
                <w:w w:val="105"/>
              </w:rPr>
              <w:t xml:space="preserve">delivered in various communities </w:t>
            </w:r>
            <w:r w:rsidRPr="008F62CF">
              <w:rPr>
                <w:rFonts w:ascii="Calibri" w:hAnsi="Calibri" w:cs="Calibri"/>
                <w:color w:val="030303"/>
                <w:w w:val="105"/>
              </w:rPr>
              <w:t>provid</w:t>
            </w:r>
            <w:r w:rsidR="004B07D5">
              <w:rPr>
                <w:rFonts w:ascii="Calibri" w:hAnsi="Calibri" w:cs="Calibri"/>
                <w:color w:val="030303"/>
                <w:w w:val="105"/>
              </w:rPr>
              <w:t>ing</w:t>
            </w:r>
            <w:r w:rsidRPr="008F62CF">
              <w:rPr>
                <w:rFonts w:ascii="Calibri" w:hAnsi="Calibri" w:cs="Calibri"/>
                <w:color w:val="030303"/>
                <w:w w:val="105"/>
              </w:rPr>
              <w:t xml:space="preserve"> easily accessible, </w:t>
            </w:r>
            <w:r w:rsidR="008F62CF" w:rsidRPr="008F62CF">
              <w:rPr>
                <w:rFonts w:ascii="Calibri" w:hAnsi="Calibri" w:cs="Calibri"/>
                <w:color w:val="030303"/>
                <w:w w:val="105"/>
              </w:rPr>
              <w:t>free,</w:t>
            </w:r>
            <w:r w:rsidRPr="008F62CF">
              <w:rPr>
                <w:rFonts w:ascii="Calibri" w:hAnsi="Calibri" w:cs="Calibri"/>
                <w:color w:val="030303"/>
                <w:w w:val="105"/>
              </w:rPr>
              <w:t xml:space="preserve"> and quality services for</w:t>
            </w:r>
            <w:r w:rsidRPr="008F62CF">
              <w:rPr>
                <w:rFonts w:ascii="Calibri" w:hAnsi="Calibri" w:cs="Calibri"/>
                <w:color w:val="030303"/>
                <w:spacing w:val="40"/>
                <w:w w:val="105"/>
              </w:rPr>
              <w:t xml:space="preserve"> </w:t>
            </w:r>
            <w:r w:rsidRPr="008F62CF">
              <w:rPr>
                <w:rFonts w:ascii="Calibri" w:hAnsi="Calibri" w:cs="Calibri"/>
                <w:color w:val="030303"/>
                <w:w w:val="105"/>
              </w:rPr>
              <w:t>people with mild to moderate depression and/or anxiety.</w:t>
            </w:r>
          </w:p>
          <w:p w14:paraId="375EDCA9" w14:textId="6F89D739" w:rsidR="00D80527" w:rsidRPr="008F62CF" w:rsidRDefault="00620C88" w:rsidP="008F62CF">
            <w:pPr>
              <w:pStyle w:val="TableParagraph"/>
              <w:spacing w:after="120"/>
              <w:ind w:right="74"/>
              <w:rPr>
                <w:rFonts w:ascii="Calibri" w:hAnsi="Calibri" w:cs="Calibri"/>
                <w:color w:val="030303"/>
                <w:w w:val="105"/>
              </w:rPr>
            </w:pPr>
            <w:r w:rsidRPr="008F62CF">
              <w:rPr>
                <w:rFonts w:ascii="Calibri" w:hAnsi="Calibri" w:cs="Calibri"/>
                <w:color w:val="030303"/>
                <w:w w:val="105"/>
              </w:rPr>
              <w:t xml:space="preserve">The </w:t>
            </w:r>
            <w:r w:rsidR="009E3909">
              <w:rPr>
                <w:rFonts w:ascii="Calibri" w:hAnsi="Calibri" w:cs="Calibri"/>
                <w:color w:val="030303"/>
                <w:w w:val="105"/>
              </w:rPr>
              <w:t xml:space="preserve"> Early Intervention Product Lead </w:t>
            </w:r>
            <w:r w:rsidRPr="008F62CF">
              <w:rPr>
                <w:rFonts w:ascii="Calibri" w:hAnsi="Calibri" w:cs="Calibri"/>
                <w:color w:val="030303"/>
                <w:w w:val="105"/>
              </w:rPr>
              <w:t xml:space="preserve">will successfully manage and lead high-value </w:t>
            </w:r>
            <w:r w:rsidR="009B3158">
              <w:rPr>
                <w:rFonts w:ascii="Calibri" w:hAnsi="Calibri" w:cs="Calibri"/>
                <w:color w:val="030303"/>
                <w:w w:val="105"/>
              </w:rPr>
              <w:t xml:space="preserve">early intervention </w:t>
            </w:r>
            <w:r w:rsidRPr="008F62CF">
              <w:rPr>
                <w:rFonts w:ascii="Calibri" w:hAnsi="Calibri" w:cs="Calibri"/>
                <w:color w:val="030303"/>
                <w:w w:val="105"/>
              </w:rPr>
              <w:t xml:space="preserve">projects and programs as well as leading the development of the Product </w:t>
            </w:r>
            <w:r w:rsidR="008F62CF">
              <w:rPr>
                <w:rFonts w:ascii="Calibri" w:hAnsi="Calibri" w:cs="Calibri"/>
                <w:color w:val="030303"/>
                <w:w w:val="105"/>
              </w:rPr>
              <w:t>s</w:t>
            </w:r>
            <w:r w:rsidRPr="008F62CF">
              <w:rPr>
                <w:rFonts w:ascii="Calibri" w:hAnsi="Calibri" w:cs="Calibri"/>
                <w:color w:val="030303"/>
                <w:w w:val="105"/>
              </w:rPr>
              <w:t xml:space="preserve">trategy for NewAccess. This will include the design </w:t>
            </w:r>
            <w:r w:rsidR="001E67B6">
              <w:rPr>
                <w:rFonts w:ascii="Calibri" w:hAnsi="Calibri" w:cs="Calibri"/>
                <w:color w:val="030303"/>
                <w:w w:val="105"/>
              </w:rPr>
              <w:t xml:space="preserve">for </w:t>
            </w:r>
            <w:r w:rsidR="00F44F0B">
              <w:rPr>
                <w:rFonts w:ascii="Calibri" w:hAnsi="Calibri" w:cs="Calibri"/>
                <w:color w:val="030303"/>
                <w:w w:val="105"/>
              </w:rPr>
              <w:t>a</w:t>
            </w:r>
            <w:r w:rsidRPr="008F62CF">
              <w:rPr>
                <w:rFonts w:ascii="Calibri" w:hAnsi="Calibri" w:cs="Calibri"/>
                <w:color w:val="030303"/>
                <w:w w:val="105"/>
              </w:rPr>
              <w:t xml:space="preserve"> national roll out</w:t>
            </w:r>
            <w:r w:rsidR="00F44F0B">
              <w:rPr>
                <w:rFonts w:ascii="Calibri" w:hAnsi="Calibri" w:cs="Calibri"/>
                <w:color w:val="030303"/>
                <w:w w:val="105"/>
              </w:rPr>
              <w:t xml:space="preserve"> of New Access</w:t>
            </w:r>
            <w:r w:rsidR="00404DB2">
              <w:rPr>
                <w:rFonts w:ascii="Calibri" w:hAnsi="Calibri" w:cs="Calibri"/>
                <w:color w:val="030303"/>
                <w:w w:val="105"/>
              </w:rPr>
              <w:t xml:space="preserve"> and </w:t>
            </w:r>
            <w:r w:rsidRPr="008F62CF">
              <w:rPr>
                <w:rFonts w:ascii="Calibri" w:hAnsi="Calibri" w:cs="Calibri"/>
                <w:color w:val="030303"/>
                <w:w w:val="105"/>
              </w:rPr>
              <w:t xml:space="preserve">new opportunities </w:t>
            </w:r>
            <w:r w:rsidR="00C3640A">
              <w:rPr>
                <w:rFonts w:ascii="Calibri" w:hAnsi="Calibri" w:cs="Calibri"/>
                <w:color w:val="030303"/>
                <w:w w:val="105"/>
              </w:rPr>
              <w:t xml:space="preserve">for New Access </w:t>
            </w:r>
            <w:r w:rsidR="00404DB2">
              <w:rPr>
                <w:rFonts w:ascii="Calibri" w:hAnsi="Calibri" w:cs="Calibri"/>
                <w:color w:val="030303"/>
                <w:w w:val="105"/>
              </w:rPr>
              <w:t>plus</w:t>
            </w:r>
            <w:r w:rsidR="006C1C1E">
              <w:rPr>
                <w:rFonts w:ascii="Calibri" w:hAnsi="Calibri" w:cs="Calibri"/>
                <w:color w:val="030303"/>
                <w:w w:val="105"/>
              </w:rPr>
              <w:t xml:space="preserve"> </w:t>
            </w:r>
            <w:r w:rsidR="00F67829" w:rsidRPr="008F62CF">
              <w:rPr>
                <w:rFonts w:ascii="Calibri" w:hAnsi="Calibri" w:cs="Calibri"/>
                <w:color w:val="030303"/>
                <w:w w:val="105"/>
              </w:rPr>
              <w:t>other</w:t>
            </w:r>
            <w:r w:rsidR="00F67829">
              <w:rPr>
                <w:rFonts w:ascii="Calibri" w:hAnsi="Calibri" w:cs="Calibri"/>
                <w:color w:val="030303"/>
                <w:w w:val="105"/>
              </w:rPr>
              <w:t xml:space="preserve"> </w:t>
            </w:r>
            <w:r w:rsidR="009B3158">
              <w:rPr>
                <w:rFonts w:ascii="Calibri" w:hAnsi="Calibri" w:cs="Calibri"/>
                <w:color w:val="030303"/>
                <w:w w:val="105"/>
              </w:rPr>
              <w:t xml:space="preserve">early intervention </w:t>
            </w:r>
            <w:r w:rsidR="005E633F">
              <w:rPr>
                <w:rFonts w:ascii="Calibri" w:hAnsi="Calibri" w:cs="Calibri"/>
                <w:color w:val="030303"/>
                <w:w w:val="105"/>
              </w:rPr>
              <w:t xml:space="preserve">services </w:t>
            </w:r>
            <w:r w:rsidR="00F67829">
              <w:rPr>
                <w:rFonts w:ascii="Calibri" w:hAnsi="Calibri" w:cs="Calibri"/>
                <w:color w:val="030303"/>
                <w:w w:val="105"/>
              </w:rPr>
              <w:t xml:space="preserve">and products </w:t>
            </w:r>
            <w:r w:rsidRPr="008F62CF">
              <w:rPr>
                <w:rFonts w:ascii="Calibri" w:hAnsi="Calibri" w:cs="Calibri"/>
                <w:color w:val="030303"/>
                <w:w w:val="105"/>
              </w:rPr>
              <w:t>as they arise.</w:t>
            </w:r>
            <w:r w:rsidR="009E3909">
              <w:rPr>
                <w:rFonts w:ascii="Calibri" w:hAnsi="Calibri" w:cs="Calibri"/>
                <w:color w:val="030303"/>
                <w:w w:val="105"/>
              </w:rPr>
              <w:t xml:space="preserve"> </w:t>
            </w:r>
            <w:r w:rsidR="00F44F0B">
              <w:rPr>
                <w:rFonts w:ascii="Calibri" w:hAnsi="Calibri" w:cs="Calibri"/>
                <w:color w:val="030303"/>
                <w:w w:val="105"/>
              </w:rPr>
              <w:t>The role will provide</w:t>
            </w:r>
            <w:r w:rsidR="00D80527" w:rsidRPr="008F62CF">
              <w:rPr>
                <w:rFonts w:ascii="Calibri" w:hAnsi="Calibri" w:cs="Calibri"/>
                <w:color w:val="030303"/>
                <w:w w:val="105"/>
              </w:rPr>
              <w:t xml:space="preserve"> oversight of the NewAccess product lifecycle including the research and innovation phase</w:t>
            </w:r>
            <w:r w:rsidR="009E3909">
              <w:rPr>
                <w:rFonts w:ascii="Calibri" w:hAnsi="Calibri" w:cs="Calibri"/>
                <w:color w:val="030303"/>
                <w:w w:val="105"/>
              </w:rPr>
              <w:t xml:space="preserve">, lead </w:t>
            </w:r>
            <w:r w:rsidR="00D80527" w:rsidRPr="008F62CF">
              <w:rPr>
                <w:rFonts w:ascii="Calibri" w:hAnsi="Calibri" w:cs="Calibri"/>
                <w:color w:val="030303"/>
                <w:w w:val="105"/>
              </w:rPr>
              <w:t xml:space="preserve">the identification of community needs and </w:t>
            </w:r>
            <w:r w:rsidR="009B3158" w:rsidRPr="008F62CF">
              <w:rPr>
                <w:rFonts w:ascii="Calibri" w:hAnsi="Calibri" w:cs="Calibri"/>
                <w:color w:val="030303"/>
                <w:w w:val="105"/>
              </w:rPr>
              <w:t>articulate</w:t>
            </w:r>
            <w:r w:rsidR="009B3158">
              <w:rPr>
                <w:rFonts w:ascii="Calibri" w:hAnsi="Calibri" w:cs="Calibri"/>
                <w:color w:val="030303"/>
                <w:w w:val="105"/>
              </w:rPr>
              <w:t xml:space="preserve"> </w:t>
            </w:r>
            <w:r w:rsidR="009B3158" w:rsidRPr="008F62CF">
              <w:rPr>
                <w:rFonts w:ascii="Calibri" w:hAnsi="Calibri" w:cs="Calibri"/>
                <w:color w:val="030303"/>
                <w:w w:val="105"/>
              </w:rPr>
              <w:t xml:space="preserve"> success </w:t>
            </w:r>
            <w:r w:rsidR="009B3158">
              <w:rPr>
                <w:rFonts w:ascii="Calibri" w:hAnsi="Calibri" w:cs="Calibri"/>
                <w:color w:val="030303"/>
                <w:w w:val="105"/>
              </w:rPr>
              <w:t xml:space="preserve">for </w:t>
            </w:r>
            <w:r w:rsidR="00D80527" w:rsidRPr="008F62CF">
              <w:rPr>
                <w:rFonts w:ascii="Calibri" w:hAnsi="Calibri" w:cs="Calibri"/>
                <w:color w:val="030303"/>
                <w:w w:val="105"/>
              </w:rPr>
              <w:t>NewAccess product</w:t>
            </w:r>
            <w:r w:rsidR="009E3909">
              <w:rPr>
                <w:rFonts w:ascii="Calibri" w:hAnsi="Calibri" w:cs="Calibri"/>
                <w:color w:val="030303"/>
                <w:w w:val="105"/>
              </w:rPr>
              <w:t>s and projects</w:t>
            </w:r>
            <w:r w:rsidR="00D80527" w:rsidRPr="008F62CF">
              <w:rPr>
                <w:rFonts w:ascii="Calibri" w:hAnsi="Calibri" w:cs="Calibri"/>
                <w:color w:val="030303"/>
                <w:w w:val="105"/>
              </w:rPr>
              <w:t xml:space="preserve"> </w:t>
            </w:r>
            <w:r w:rsidR="009B3158">
              <w:rPr>
                <w:rFonts w:ascii="Calibri" w:hAnsi="Calibri" w:cs="Calibri"/>
                <w:color w:val="030303"/>
                <w:w w:val="105"/>
              </w:rPr>
              <w:t>within</w:t>
            </w:r>
            <w:r w:rsidR="00A54BE6">
              <w:rPr>
                <w:rFonts w:ascii="Calibri" w:hAnsi="Calibri" w:cs="Calibri"/>
                <w:color w:val="030303"/>
                <w:w w:val="105"/>
              </w:rPr>
              <w:t xml:space="preserve"> </w:t>
            </w:r>
            <w:r w:rsidR="00D80527" w:rsidRPr="008F62CF">
              <w:rPr>
                <w:rFonts w:ascii="Calibri" w:hAnsi="Calibri" w:cs="Calibri"/>
                <w:color w:val="030303"/>
                <w:w w:val="105"/>
              </w:rPr>
              <w:t xml:space="preserve">the Product </w:t>
            </w:r>
            <w:r w:rsidR="00C3640A" w:rsidRPr="008F62CF">
              <w:rPr>
                <w:rFonts w:ascii="Calibri" w:hAnsi="Calibri" w:cs="Calibri"/>
                <w:color w:val="030303"/>
                <w:w w:val="105"/>
              </w:rPr>
              <w:t>strategy</w:t>
            </w:r>
            <w:r w:rsidR="00C3640A">
              <w:rPr>
                <w:rFonts w:ascii="Calibri" w:hAnsi="Calibri" w:cs="Calibri"/>
                <w:color w:val="030303"/>
                <w:w w:val="105"/>
              </w:rPr>
              <w:t>.</w:t>
            </w:r>
          </w:p>
          <w:p w14:paraId="3233A599" w14:textId="6502B0A1" w:rsidR="00620C88" w:rsidRPr="008F62CF" w:rsidRDefault="00F44F0B" w:rsidP="008F62CF">
            <w:pPr>
              <w:pStyle w:val="TableParagraph"/>
              <w:spacing w:after="120"/>
              <w:ind w:right="74"/>
              <w:rPr>
                <w:rFonts w:ascii="Calibri" w:hAnsi="Calibri" w:cs="Calibri"/>
                <w:color w:val="030303"/>
                <w:w w:val="105"/>
              </w:rPr>
            </w:pPr>
            <w:r>
              <w:rPr>
                <w:rFonts w:ascii="Calibri" w:hAnsi="Calibri" w:cs="Calibri"/>
                <w:color w:val="030303"/>
                <w:w w:val="105"/>
              </w:rPr>
              <w:t xml:space="preserve">The role is </w:t>
            </w:r>
            <w:r w:rsidR="00D80527" w:rsidRPr="008F62CF">
              <w:rPr>
                <w:rFonts w:ascii="Calibri" w:hAnsi="Calibri" w:cs="Calibri"/>
                <w:color w:val="030303"/>
                <w:w w:val="105"/>
              </w:rPr>
              <w:t xml:space="preserve">responsible for managing issues, </w:t>
            </w:r>
            <w:r w:rsidR="008F62CF" w:rsidRPr="008F62CF">
              <w:rPr>
                <w:rFonts w:ascii="Calibri" w:hAnsi="Calibri" w:cs="Calibri"/>
                <w:color w:val="030303"/>
                <w:w w:val="105"/>
              </w:rPr>
              <w:t>risks,</w:t>
            </w:r>
            <w:r w:rsidR="00D80527" w:rsidRPr="008F62CF">
              <w:rPr>
                <w:rFonts w:ascii="Calibri" w:hAnsi="Calibri" w:cs="Calibri"/>
                <w:color w:val="030303"/>
                <w:w w:val="105"/>
              </w:rPr>
              <w:t xml:space="preserve"> and project change to ensure successful and on-time project delivery. This position will work closely with various staff across the business - including the Centres of Excellence team - to manage the delivery of objectives outlined in </w:t>
            </w:r>
            <w:r w:rsidR="009E3909">
              <w:rPr>
                <w:rFonts w:ascii="Calibri" w:hAnsi="Calibri" w:cs="Calibri"/>
                <w:color w:val="030303"/>
                <w:w w:val="105"/>
              </w:rPr>
              <w:t xml:space="preserve">program and </w:t>
            </w:r>
            <w:r w:rsidR="00D80527" w:rsidRPr="008F62CF">
              <w:rPr>
                <w:rFonts w:ascii="Calibri" w:hAnsi="Calibri" w:cs="Calibri"/>
                <w:color w:val="030303"/>
                <w:w w:val="105"/>
              </w:rPr>
              <w:t>funding parameters.</w:t>
            </w:r>
            <w:r w:rsidR="009B3158">
              <w:rPr>
                <w:rFonts w:ascii="Calibri" w:hAnsi="Calibri" w:cs="Calibri"/>
                <w:color w:val="030303"/>
                <w:w w:val="105"/>
              </w:rPr>
              <w:t xml:space="preserve"> </w:t>
            </w:r>
            <w:r w:rsidR="00D80527" w:rsidRPr="008F62CF">
              <w:rPr>
                <w:rFonts w:ascii="Calibri" w:hAnsi="Calibri" w:cs="Calibri"/>
                <w:color w:val="030303"/>
                <w:w w:val="105"/>
              </w:rPr>
              <w:t xml:space="preserve">The role will also be responsible for managing daily activities relating to the national roll out of </w:t>
            </w:r>
            <w:r w:rsidR="008F62CF">
              <w:rPr>
                <w:rFonts w:ascii="Calibri" w:hAnsi="Calibri" w:cs="Calibri"/>
                <w:color w:val="030303"/>
                <w:w w:val="105"/>
              </w:rPr>
              <w:t xml:space="preserve">the </w:t>
            </w:r>
            <w:r w:rsidR="00D80527" w:rsidRPr="008F62CF">
              <w:rPr>
                <w:rFonts w:ascii="Calibri" w:hAnsi="Calibri" w:cs="Calibri"/>
                <w:color w:val="030303"/>
                <w:w w:val="105"/>
              </w:rPr>
              <w:t xml:space="preserve">NewAccess program, the </w:t>
            </w:r>
            <w:r w:rsidR="008F62CF">
              <w:rPr>
                <w:rFonts w:ascii="Calibri" w:hAnsi="Calibri" w:cs="Calibri"/>
                <w:color w:val="030303"/>
                <w:w w:val="105"/>
              </w:rPr>
              <w:t>New Access for S</w:t>
            </w:r>
            <w:r w:rsidR="00D80527" w:rsidRPr="008F62CF">
              <w:rPr>
                <w:rFonts w:ascii="Calibri" w:hAnsi="Calibri" w:cs="Calibri"/>
                <w:color w:val="030303"/>
                <w:w w:val="105"/>
              </w:rPr>
              <w:t xml:space="preserve">mall </w:t>
            </w:r>
            <w:r w:rsidR="008F62CF">
              <w:rPr>
                <w:rFonts w:ascii="Calibri" w:hAnsi="Calibri" w:cs="Calibri"/>
                <w:color w:val="030303"/>
                <w:w w:val="105"/>
              </w:rPr>
              <w:t>B</w:t>
            </w:r>
            <w:r w:rsidR="00D80527" w:rsidRPr="008F62CF">
              <w:rPr>
                <w:rFonts w:ascii="Calibri" w:hAnsi="Calibri" w:cs="Calibri"/>
                <w:color w:val="030303"/>
                <w:w w:val="105"/>
              </w:rPr>
              <w:t xml:space="preserve">usiness </w:t>
            </w:r>
            <w:r w:rsidR="008F62CF">
              <w:rPr>
                <w:rFonts w:ascii="Calibri" w:hAnsi="Calibri" w:cs="Calibri"/>
                <w:color w:val="030303"/>
                <w:w w:val="105"/>
              </w:rPr>
              <w:t>O</w:t>
            </w:r>
            <w:r w:rsidR="00D80527" w:rsidRPr="008F62CF">
              <w:rPr>
                <w:rFonts w:ascii="Calibri" w:hAnsi="Calibri" w:cs="Calibri"/>
                <w:color w:val="030303"/>
                <w:w w:val="105"/>
              </w:rPr>
              <w:t>wners</w:t>
            </w:r>
            <w:r w:rsidR="008F62CF">
              <w:rPr>
                <w:rFonts w:ascii="Calibri" w:hAnsi="Calibri" w:cs="Calibri"/>
                <w:color w:val="030303"/>
                <w:w w:val="105"/>
              </w:rPr>
              <w:t>’</w:t>
            </w:r>
            <w:r w:rsidR="00D80527" w:rsidRPr="008F62CF">
              <w:rPr>
                <w:rFonts w:ascii="Calibri" w:hAnsi="Calibri" w:cs="Calibri"/>
                <w:color w:val="030303"/>
                <w:w w:val="105"/>
              </w:rPr>
              <w:t xml:space="preserve"> program</w:t>
            </w:r>
            <w:r w:rsidR="006C1C1E">
              <w:rPr>
                <w:rFonts w:ascii="Calibri" w:hAnsi="Calibri" w:cs="Calibri"/>
                <w:color w:val="030303"/>
                <w:w w:val="105"/>
              </w:rPr>
              <w:t xml:space="preserve"> and </w:t>
            </w:r>
            <w:r w:rsidR="008F62CF">
              <w:rPr>
                <w:rFonts w:ascii="Calibri" w:hAnsi="Calibri" w:cs="Calibri"/>
                <w:color w:val="030303"/>
                <w:w w:val="105"/>
              </w:rPr>
              <w:t xml:space="preserve">other New Access </w:t>
            </w:r>
            <w:r w:rsidR="001A270C">
              <w:rPr>
                <w:rFonts w:ascii="Calibri" w:hAnsi="Calibri" w:cs="Calibri"/>
                <w:color w:val="030303"/>
                <w:w w:val="105"/>
              </w:rPr>
              <w:t xml:space="preserve">and early intervention </w:t>
            </w:r>
            <w:r w:rsidR="008F62CF">
              <w:rPr>
                <w:rFonts w:ascii="Calibri" w:hAnsi="Calibri" w:cs="Calibri"/>
                <w:color w:val="030303"/>
                <w:w w:val="105"/>
              </w:rPr>
              <w:t>projects and programs</w:t>
            </w:r>
            <w:r>
              <w:rPr>
                <w:rFonts w:ascii="Calibri" w:hAnsi="Calibri" w:cs="Calibri"/>
                <w:color w:val="030303"/>
                <w:w w:val="105"/>
              </w:rPr>
              <w:t>.</w:t>
            </w:r>
            <w:r w:rsidR="000223CF">
              <w:rPr>
                <w:rFonts w:ascii="Calibri" w:hAnsi="Calibri" w:cs="Calibri"/>
                <w:color w:val="030303"/>
                <w:w w:val="105"/>
              </w:rPr>
              <w:t xml:space="preserve"> </w:t>
            </w:r>
            <w:r w:rsidR="00D80527" w:rsidRPr="008F62CF">
              <w:rPr>
                <w:rFonts w:ascii="Calibri" w:hAnsi="Calibri" w:cs="Calibri"/>
                <w:color w:val="030303"/>
                <w:w w:val="105"/>
              </w:rPr>
              <w:t xml:space="preserve"> </w:t>
            </w:r>
            <w:r w:rsidR="000223CF">
              <w:rPr>
                <w:rFonts w:ascii="Calibri" w:hAnsi="Calibri" w:cs="Calibri"/>
                <w:color w:val="030303"/>
                <w:w w:val="105"/>
              </w:rPr>
              <w:t>The</w:t>
            </w:r>
            <w:r w:rsidR="00D80527" w:rsidRPr="008F62CF">
              <w:rPr>
                <w:rFonts w:ascii="Calibri" w:hAnsi="Calibri" w:cs="Calibri"/>
                <w:color w:val="030303"/>
                <w:w w:val="105"/>
              </w:rPr>
              <w:t xml:space="preserve"> role will be tasked with quality assurance of deliverables within specified time and cost constraints</w:t>
            </w:r>
            <w:r w:rsidR="00A75766">
              <w:rPr>
                <w:rFonts w:ascii="Calibri" w:hAnsi="Calibri" w:cs="Calibri"/>
                <w:color w:val="030303"/>
                <w:w w:val="105"/>
              </w:rPr>
              <w:t>.</w:t>
            </w:r>
          </w:p>
        </w:tc>
      </w:tr>
      <w:tr w:rsidR="002C4D09" w14:paraId="3FB48344" w14:textId="77777777" w:rsidTr="00CD0AE7">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1"/>
            <w:vAlign w:val="center"/>
          </w:tcPr>
          <w:p w14:paraId="17A51161" w14:textId="77777777" w:rsidR="002C4D09" w:rsidRDefault="00CC1E4C" w:rsidP="000223CF">
            <w:pPr>
              <w:pStyle w:val="Tableheading"/>
            </w:pPr>
            <w:r>
              <w:t>Area of accountability</w:t>
            </w:r>
          </w:p>
          <w:p w14:paraId="7BDFBF66" w14:textId="61F095A1" w:rsidR="00A75766" w:rsidRDefault="00A75766" w:rsidP="00A75766">
            <w:pPr>
              <w:pStyle w:val="Bullets"/>
              <w:ind w:left="357" w:hanging="357"/>
            </w:pPr>
            <w:r>
              <w:rPr>
                <w:w w:val="105"/>
              </w:rPr>
              <w:t>Lead</w:t>
            </w:r>
            <w:r>
              <w:rPr>
                <w:spacing w:val="-5"/>
                <w:w w:val="105"/>
              </w:rPr>
              <w:t xml:space="preserve"> </w:t>
            </w:r>
            <w:r>
              <w:rPr>
                <w:w w:val="105"/>
              </w:rPr>
              <w:t>high-value project and</w:t>
            </w:r>
            <w:r>
              <w:rPr>
                <w:spacing w:val="-7"/>
                <w:w w:val="105"/>
              </w:rPr>
              <w:t xml:space="preserve"> </w:t>
            </w:r>
            <w:r>
              <w:rPr>
                <w:w w:val="105"/>
              </w:rPr>
              <w:t>programs</w:t>
            </w:r>
            <w:r>
              <w:rPr>
                <w:spacing w:val="-5"/>
                <w:w w:val="105"/>
              </w:rPr>
              <w:t xml:space="preserve"> </w:t>
            </w:r>
            <w:r>
              <w:rPr>
                <w:w w:val="105"/>
              </w:rPr>
              <w:t>that</w:t>
            </w:r>
            <w:r>
              <w:rPr>
                <w:spacing w:val="-3"/>
                <w:w w:val="105"/>
              </w:rPr>
              <w:t xml:space="preserve"> </w:t>
            </w:r>
            <w:r w:rsidR="007E284C">
              <w:rPr>
                <w:w w:val="105"/>
              </w:rPr>
              <w:t xml:space="preserve">support early intervention strategies including </w:t>
            </w:r>
            <w:r>
              <w:rPr>
                <w:w w:val="105"/>
              </w:rPr>
              <w:t>NewAccess</w:t>
            </w:r>
            <w:r w:rsidR="00736A1B">
              <w:rPr>
                <w:w w:val="105"/>
              </w:rPr>
              <w:t xml:space="preserve"> </w:t>
            </w:r>
            <w:r>
              <w:rPr>
                <w:w w:val="105"/>
              </w:rPr>
              <w:t xml:space="preserve">and </w:t>
            </w:r>
            <w:r w:rsidR="00463582">
              <w:rPr>
                <w:w w:val="105"/>
              </w:rPr>
              <w:t xml:space="preserve">organisations’ </w:t>
            </w:r>
            <w:r w:rsidR="00193953">
              <w:rPr>
                <w:w w:val="105"/>
              </w:rPr>
              <w:t xml:space="preserve">annual </w:t>
            </w:r>
            <w:r>
              <w:rPr>
                <w:w w:val="105"/>
              </w:rPr>
              <w:t>planning cycles.</w:t>
            </w:r>
          </w:p>
          <w:p w14:paraId="3760028A" w14:textId="28EB36D1" w:rsidR="00A75766" w:rsidRPr="00A75766" w:rsidRDefault="00A75766" w:rsidP="0011554E">
            <w:pPr>
              <w:pStyle w:val="Bullets"/>
              <w:ind w:left="357" w:hanging="357"/>
            </w:pPr>
            <w:r>
              <w:t xml:space="preserve">Manage and </w:t>
            </w:r>
            <w:r w:rsidRPr="008F62CF">
              <w:rPr>
                <w:rFonts w:ascii="Calibri" w:hAnsi="Calibri" w:cs="Calibri"/>
                <w:color w:val="030303"/>
                <w:w w:val="105"/>
              </w:rPr>
              <w:t xml:space="preserve">lead the development of the </w:t>
            </w:r>
            <w:r w:rsidR="00DD7757">
              <w:rPr>
                <w:rFonts w:ascii="Calibri" w:hAnsi="Calibri" w:cs="Calibri"/>
                <w:color w:val="030303"/>
                <w:w w:val="105"/>
              </w:rPr>
              <w:t>p</w:t>
            </w:r>
            <w:r w:rsidRPr="008F62CF">
              <w:rPr>
                <w:rFonts w:ascii="Calibri" w:hAnsi="Calibri" w:cs="Calibri"/>
                <w:color w:val="030303"/>
                <w:w w:val="105"/>
              </w:rPr>
              <w:t xml:space="preserve">roduct </w:t>
            </w:r>
            <w:r>
              <w:rPr>
                <w:rFonts w:ascii="Calibri" w:hAnsi="Calibri" w:cs="Calibri"/>
                <w:color w:val="030303"/>
                <w:w w:val="105"/>
              </w:rPr>
              <w:t>s</w:t>
            </w:r>
            <w:r w:rsidRPr="008F62CF">
              <w:rPr>
                <w:rFonts w:ascii="Calibri" w:hAnsi="Calibri" w:cs="Calibri"/>
                <w:color w:val="030303"/>
                <w:w w:val="105"/>
              </w:rPr>
              <w:t>trategy for NewAccess</w:t>
            </w:r>
            <w:r>
              <w:rPr>
                <w:rFonts w:ascii="Calibri" w:hAnsi="Calibri" w:cs="Calibri"/>
                <w:color w:val="030303"/>
                <w:w w:val="105"/>
              </w:rPr>
              <w:t>.</w:t>
            </w:r>
          </w:p>
          <w:p w14:paraId="71D950C4" w14:textId="73F88448" w:rsidR="00A92D6A" w:rsidRDefault="00A92D6A" w:rsidP="0011554E">
            <w:pPr>
              <w:pStyle w:val="Bullets"/>
              <w:ind w:left="357" w:hanging="357"/>
            </w:pPr>
            <w:r>
              <w:rPr>
                <w:w w:val="105"/>
              </w:rPr>
              <w:t>Manage the</w:t>
            </w:r>
            <w:r>
              <w:rPr>
                <w:spacing w:val="40"/>
                <w:w w:val="105"/>
              </w:rPr>
              <w:t xml:space="preserve"> </w:t>
            </w:r>
            <w:r>
              <w:rPr>
                <w:w w:val="105"/>
              </w:rPr>
              <w:t>product</w:t>
            </w:r>
            <w:r>
              <w:rPr>
                <w:spacing w:val="36"/>
                <w:w w:val="105"/>
              </w:rPr>
              <w:t xml:space="preserve"> </w:t>
            </w:r>
            <w:r>
              <w:rPr>
                <w:w w:val="105"/>
              </w:rPr>
              <w:t xml:space="preserve">lifecycle </w:t>
            </w:r>
            <w:r w:rsidR="00A75766">
              <w:rPr>
                <w:w w:val="105"/>
              </w:rPr>
              <w:t>for New Access</w:t>
            </w:r>
            <w:r w:rsidR="00B076C5">
              <w:rPr>
                <w:w w:val="105"/>
              </w:rPr>
              <w:t xml:space="preserve"> </w:t>
            </w:r>
            <w:r w:rsidR="00F91B64">
              <w:rPr>
                <w:w w:val="105"/>
              </w:rPr>
              <w:t xml:space="preserve">including </w:t>
            </w:r>
            <w:r>
              <w:rPr>
                <w:w w:val="105"/>
              </w:rPr>
              <w:t>product</w:t>
            </w:r>
            <w:r>
              <w:rPr>
                <w:spacing w:val="37"/>
                <w:w w:val="105"/>
              </w:rPr>
              <w:t xml:space="preserve"> </w:t>
            </w:r>
            <w:r>
              <w:rPr>
                <w:w w:val="105"/>
              </w:rPr>
              <w:t>design with continued focus on</w:t>
            </w:r>
            <w:r>
              <w:rPr>
                <w:spacing w:val="-3"/>
                <w:w w:val="105"/>
              </w:rPr>
              <w:t xml:space="preserve"> </w:t>
            </w:r>
            <w:r>
              <w:rPr>
                <w:w w:val="105"/>
              </w:rPr>
              <w:t>value maximisation and customer centricity.</w:t>
            </w:r>
          </w:p>
          <w:p w14:paraId="45E92A5C" w14:textId="2F88B9D2" w:rsidR="00A92D6A" w:rsidRDefault="00A92D6A" w:rsidP="0011554E">
            <w:pPr>
              <w:pStyle w:val="Bullets"/>
              <w:ind w:left="357" w:hanging="357"/>
            </w:pPr>
            <w:r>
              <w:rPr>
                <w:w w:val="105"/>
              </w:rPr>
              <w:lastRenderedPageBreak/>
              <w:t>Encourage</w:t>
            </w:r>
            <w:r>
              <w:rPr>
                <w:spacing w:val="40"/>
                <w:w w:val="105"/>
              </w:rPr>
              <w:t xml:space="preserve"> </w:t>
            </w:r>
            <w:r>
              <w:rPr>
                <w:w w:val="105"/>
              </w:rPr>
              <w:t>solutions-based</w:t>
            </w:r>
            <w:r>
              <w:rPr>
                <w:spacing w:val="40"/>
                <w:w w:val="105"/>
              </w:rPr>
              <w:t xml:space="preserve"> </w:t>
            </w:r>
            <w:r>
              <w:rPr>
                <w:w w:val="105"/>
              </w:rPr>
              <w:t>approach</w:t>
            </w:r>
            <w:r>
              <w:rPr>
                <w:spacing w:val="40"/>
                <w:w w:val="105"/>
              </w:rPr>
              <w:t xml:space="preserve"> </w:t>
            </w:r>
            <w:r>
              <w:rPr>
                <w:w w:val="105"/>
              </w:rPr>
              <w:t>within</w:t>
            </w:r>
            <w:r>
              <w:rPr>
                <w:spacing w:val="40"/>
                <w:w w:val="105"/>
              </w:rPr>
              <w:t xml:space="preserve"> </w:t>
            </w:r>
            <w:r>
              <w:rPr>
                <w:w w:val="105"/>
              </w:rPr>
              <w:t>the</w:t>
            </w:r>
            <w:r>
              <w:rPr>
                <w:spacing w:val="40"/>
                <w:w w:val="105"/>
              </w:rPr>
              <w:t xml:space="preserve"> </w:t>
            </w:r>
            <w:r>
              <w:rPr>
                <w:w w:val="105"/>
              </w:rPr>
              <w:t>NewAccess</w:t>
            </w:r>
            <w:r>
              <w:rPr>
                <w:spacing w:val="40"/>
                <w:w w:val="105"/>
              </w:rPr>
              <w:t xml:space="preserve"> </w:t>
            </w:r>
            <w:r>
              <w:rPr>
                <w:w w:val="105"/>
              </w:rPr>
              <w:t>team</w:t>
            </w:r>
            <w:r>
              <w:rPr>
                <w:spacing w:val="40"/>
                <w:w w:val="105"/>
              </w:rPr>
              <w:t xml:space="preserve"> </w:t>
            </w:r>
            <w:r>
              <w:rPr>
                <w:w w:val="105"/>
              </w:rPr>
              <w:t>to enable achievement of shared targets</w:t>
            </w:r>
            <w:r w:rsidR="00F67829">
              <w:rPr>
                <w:w w:val="105"/>
              </w:rPr>
              <w:t>.</w:t>
            </w:r>
          </w:p>
          <w:p w14:paraId="1D0AECFB" w14:textId="1E36E8FD" w:rsidR="00A92D6A" w:rsidRDefault="00A92D6A" w:rsidP="0011554E">
            <w:pPr>
              <w:pStyle w:val="Bullets"/>
              <w:ind w:left="357" w:hanging="357"/>
            </w:pPr>
            <w:r>
              <w:rPr>
                <w:w w:val="105"/>
              </w:rPr>
              <w:t>Support</w:t>
            </w:r>
            <w:r>
              <w:rPr>
                <w:spacing w:val="40"/>
                <w:w w:val="105"/>
              </w:rPr>
              <w:t xml:space="preserve"> </w:t>
            </w:r>
            <w:r>
              <w:rPr>
                <w:w w:val="105"/>
              </w:rPr>
              <w:t>team</w:t>
            </w:r>
            <w:r>
              <w:rPr>
                <w:spacing w:val="40"/>
                <w:w w:val="105"/>
              </w:rPr>
              <w:t xml:space="preserve"> </w:t>
            </w:r>
            <w:r>
              <w:rPr>
                <w:w w:val="105"/>
              </w:rPr>
              <w:t>member</w:t>
            </w:r>
            <w:r w:rsidR="00F67829">
              <w:rPr>
                <w:w w:val="105"/>
              </w:rPr>
              <w:t>’</w:t>
            </w:r>
            <w:r>
              <w:rPr>
                <w:w w:val="105"/>
              </w:rPr>
              <w:t>s</w:t>
            </w:r>
            <w:r>
              <w:rPr>
                <w:spacing w:val="40"/>
                <w:w w:val="105"/>
              </w:rPr>
              <w:t xml:space="preserve"> </w:t>
            </w:r>
            <w:r>
              <w:rPr>
                <w:w w:val="105"/>
              </w:rPr>
              <w:t>engagement</w:t>
            </w:r>
            <w:r>
              <w:rPr>
                <w:spacing w:val="80"/>
                <w:w w:val="105"/>
              </w:rPr>
              <w:t xml:space="preserve"> </w:t>
            </w:r>
            <w:r>
              <w:rPr>
                <w:w w:val="105"/>
              </w:rPr>
              <w:t>with</w:t>
            </w:r>
            <w:r>
              <w:rPr>
                <w:spacing w:val="40"/>
                <w:w w:val="105"/>
              </w:rPr>
              <w:t xml:space="preserve"> </w:t>
            </w:r>
            <w:r>
              <w:rPr>
                <w:w w:val="105"/>
              </w:rPr>
              <w:t>relevant</w:t>
            </w:r>
            <w:r>
              <w:rPr>
                <w:spacing w:val="40"/>
                <w:w w:val="105"/>
              </w:rPr>
              <w:t xml:space="preserve"> </w:t>
            </w:r>
            <w:r>
              <w:rPr>
                <w:w w:val="105"/>
              </w:rPr>
              <w:t>internal</w:t>
            </w:r>
            <w:r>
              <w:rPr>
                <w:spacing w:val="40"/>
                <w:w w:val="105"/>
              </w:rPr>
              <w:t xml:space="preserve"> </w:t>
            </w:r>
            <w:r>
              <w:rPr>
                <w:w w:val="105"/>
              </w:rPr>
              <w:t>working</w:t>
            </w:r>
            <w:r>
              <w:rPr>
                <w:spacing w:val="40"/>
                <w:w w:val="105"/>
              </w:rPr>
              <w:t xml:space="preserve"> </w:t>
            </w:r>
            <w:r>
              <w:rPr>
                <w:w w:val="105"/>
              </w:rPr>
              <w:t>groups and external agencies relating</w:t>
            </w:r>
            <w:r>
              <w:rPr>
                <w:spacing w:val="-4"/>
                <w:w w:val="105"/>
              </w:rPr>
              <w:t xml:space="preserve"> </w:t>
            </w:r>
            <w:r>
              <w:rPr>
                <w:w w:val="105"/>
              </w:rPr>
              <w:t>to NewAccess</w:t>
            </w:r>
            <w:r w:rsidR="00F67829">
              <w:rPr>
                <w:w w:val="105"/>
              </w:rPr>
              <w:t>.</w:t>
            </w:r>
          </w:p>
          <w:p w14:paraId="47321FB1" w14:textId="7EDFF34C" w:rsidR="00A92D6A" w:rsidRDefault="00A92D6A" w:rsidP="0011554E">
            <w:pPr>
              <w:pStyle w:val="Bullets"/>
              <w:ind w:left="357" w:hanging="357"/>
            </w:pPr>
            <w:r>
              <w:rPr>
                <w:w w:val="105"/>
              </w:rPr>
              <w:t>Enable opportunities to integrate and</w:t>
            </w:r>
            <w:r>
              <w:rPr>
                <w:spacing w:val="-7"/>
                <w:w w:val="105"/>
              </w:rPr>
              <w:t xml:space="preserve"> </w:t>
            </w:r>
            <w:r>
              <w:rPr>
                <w:w w:val="105"/>
              </w:rPr>
              <w:t>collaborate across broader Beyond Blue teams and utilising team resources effectively supporting development and priorities</w:t>
            </w:r>
            <w:r w:rsidR="00F67829">
              <w:rPr>
                <w:w w:val="105"/>
              </w:rPr>
              <w:t>.</w:t>
            </w:r>
          </w:p>
          <w:p w14:paraId="68F6A037" w14:textId="12C863B5" w:rsidR="00A92D6A" w:rsidRDefault="00A92D6A" w:rsidP="0011554E">
            <w:pPr>
              <w:pStyle w:val="Bullets"/>
              <w:ind w:left="357" w:hanging="357"/>
            </w:pPr>
            <w:r>
              <w:rPr>
                <w:w w:val="105"/>
              </w:rPr>
              <w:t>Ensure</w:t>
            </w:r>
            <w:r>
              <w:rPr>
                <w:spacing w:val="-13"/>
                <w:w w:val="105"/>
              </w:rPr>
              <w:t xml:space="preserve"> </w:t>
            </w:r>
            <w:r>
              <w:rPr>
                <w:w w:val="105"/>
              </w:rPr>
              <w:t>target</w:t>
            </w:r>
            <w:r>
              <w:rPr>
                <w:spacing w:val="-8"/>
                <w:w w:val="105"/>
              </w:rPr>
              <w:t xml:space="preserve"> </w:t>
            </w:r>
            <w:r>
              <w:rPr>
                <w:w w:val="105"/>
              </w:rPr>
              <w:t>audiences,</w:t>
            </w:r>
            <w:r>
              <w:rPr>
                <w:spacing w:val="-5"/>
                <w:w w:val="105"/>
              </w:rPr>
              <w:t xml:space="preserve"> </w:t>
            </w:r>
            <w:r>
              <w:rPr>
                <w:w w:val="105"/>
              </w:rPr>
              <w:t>consumers</w:t>
            </w:r>
            <w:r>
              <w:rPr>
                <w:spacing w:val="-8"/>
                <w:w w:val="105"/>
              </w:rPr>
              <w:t xml:space="preserve"> </w:t>
            </w:r>
            <w:r>
              <w:rPr>
                <w:w w:val="105"/>
              </w:rPr>
              <w:t>and</w:t>
            </w:r>
            <w:r>
              <w:rPr>
                <w:spacing w:val="-11"/>
                <w:w w:val="105"/>
              </w:rPr>
              <w:t xml:space="preserve"> </w:t>
            </w:r>
            <w:r>
              <w:rPr>
                <w:w w:val="105"/>
              </w:rPr>
              <w:t>other</w:t>
            </w:r>
            <w:r>
              <w:rPr>
                <w:spacing w:val="-8"/>
                <w:w w:val="105"/>
              </w:rPr>
              <w:t xml:space="preserve"> </w:t>
            </w:r>
            <w:r>
              <w:rPr>
                <w:w w:val="105"/>
              </w:rPr>
              <w:t>stakeholders</w:t>
            </w:r>
            <w:r>
              <w:rPr>
                <w:spacing w:val="-2"/>
                <w:w w:val="105"/>
              </w:rPr>
              <w:t xml:space="preserve"> </w:t>
            </w:r>
            <w:r>
              <w:rPr>
                <w:w w:val="105"/>
              </w:rPr>
              <w:t>are</w:t>
            </w:r>
            <w:r>
              <w:rPr>
                <w:spacing w:val="-11"/>
                <w:w w:val="105"/>
              </w:rPr>
              <w:t xml:space="preserve"> </w:t>
            </w:r>
            <w:r>
              <w:rPr>
                <w:w w:val="105"/>
              </w:rPr>
              <w:t>engaged to gain community support for the programme and to solicit input to improve the program</w:t>
            </w:r>
            <w:r w:rsidR="00F67829">
              <w:rPr>
                <w:w w:val="105"/>
              </w:rPr>
              <w:t>.</w:t>
            </w:r>
          </w:p>
          <w:p w14:paraId="586D52CB" w14:textId="22744318" w:rsidR="00A92D6A" w:rsidRDefault="00A92D6A" w:rsidP="0011554E">
            <w:pPr>
              <w:pStyle w:val="Bullets"/>
              <w:ind w:left="357" w:hanging="357"/>
            </w:pPr>
            <w:r>
              <w:rPr>
                <w:w w:val="105"/>
              </w:rPr>
              <w:t>Represent Beyond Blue publicly on</w:t>
            </w:r>
            <w:r>
              <w:rPr>
                <w:spacing w:val="-5"/>
                <w:w w:val="105"/>
              </w:rPr>
              <w:t xml:space="preserve"> </w:t>
            </w:r>
            <w:r>
              <w:rPr>
                <w:w w:val="105"/>
              </w:rPr>
              <w:t xml:space="preserve">committees and important high-level groups in relation to </w:t>
            </w:r>
            <w:r w:rsidR="00193953">
              <w:rPr>
                <w:w w:val="105"/>
              </w:rPr>
              <w:t xml:space="preserve">early intervention and </w:t>
            </w:r>
            <w:r>
              <w:rPr>
                <w:w w:val="105"/>
              </w:rPr>
              <w:t>NewAccess programs</w:t>
            </w:r>
            <w:r w:rsidR="00F67829">
              <w:rPr>
                <w:w w:val="105"/>
              </w:rPr>
              <w:t>.</w:t>
            </w:r>
          </w:p>
          <w:p w14:paraId="750E1667" w14:textId="0D98C568" w:rsidR="00A92D6A" w:rsidRDefault="00A92D6A" w:rsidP="0011554E">
            <w:pPr>
              <w:pStyle w:val="Bullets"/>
              <w:ind w:left="357" w:hanging="357"/>
            </w:pPr>
            <w:r>
              <w:rPr>
                <w:w w:val="105"/>
              </w:rPr>
              <w:t>Full utilisation of relevant data and insights to inform Beyond Blue on enhancements and improvements to improve the program</w:t>
            </w:r>
            <w:r w:rsidR="00F67829">
              <w:rPr>
                <w:w w:val="105"/>
              </w:rPr>
              <w:t>.</w:t>
            </w:r>
          </w:p>
          <w:p w14:paraId="57834AFD" w14:textId="18ABE58A" w:rsidR="00C54E98" w:rsidRPr="00B1722B" w:rsidRDefault="00A92D6A" w:rsidP="0011554E">
            <w:pPr>
              <w:pStyle w:val="Bullets"/>
              <w:ind w:left="357" w:hanging="357"/>
            </w:pPr>
            <w:r>
              <w:rPr>
                <w:w w:val="105"/>
              </w:rPr>
              <w:t>Collaborate with the Suicide Prevention &amp; Early Intervention</w:t>
            </w:r>
            <w:r>
              <w:rPr>
                <w:spacing w:val="40"/>
                <w:w w:val="105"/>
              </w:rPr>
              <w:t xml:space="preserve"> </w:t>
            </w:r>
            <w:r>
              <w:rPr>
                <w:w w:val="105"/>
              </w:rPr>
              <w:t>Sustainability</w:t>
            </w:r>
            <w:r>
              <w:rPr>
                <w:spacing w:val="-14"/>
                <w:w w:val="105"/>
              </w:rPr>
              <w:t xml:space="preserve"> </w:t>
            </w:r>
            <w:r>
              <w:rPr>
                <w:w w:val="105"/>
              </w:rPr>
              <w:t>Lead</w:t>
            </w:r>
            <w:r>
              <w:rPr>
                <w:spacing w:val="-13"/>
                <w:w w:val="105"/>
              </w:rPr>
              <w:t xml:space="preserve"> </w:t>
            </w:r>
            <w:r>
              <w:rPr>
                <w:w w:val="105"/>
              </w:rPr>
              <w:t>and</w:t>
            </w:r>
            <w:r>
              <w:rPr>
                <w:spacing w:val="-13"/>
                <w:w w:val="105"/>
              </w:rPr>
              <w:t xml:space="preserve"> </w:t>
            </w:r>
            <w:r>
              <w:rPr>
                <w:w w:val="105"/>
              </w:rPr>
              <w:t>other</w:t>
            </w:r>
            <w:r>
              <w:rPr>
                <w:spacing w:val="-13"/>
                <w:w w:val="105"/>
              </w:rPr>
              <w:t xml:space="preserve"> </w:t>
            </w:r>
            <w:r>
              <w:rPr>
                <w:w w:val="105"/>
              </w:rPr>
              <w:t>relevant</w:t>
            </w:r>
            <w:r>
              <w:rPr>
                <w:spacing w:val="-4"/>
                <w:w w:val="105"/>
              </w:rPr>
              <w:t xml:space="preserve"> </w:t>
            </w:r>
            <w:r>
              <w:rPr>
                <w:w w:val="105"/>
              </w:rPr>
              <w:t>internal</w:t>
            </w:r>
            <w:r>
              <w:rPr>
                <w:spacing w:val="-9"/>
                <w:w w:val="105"/>
              </w:rPr>
              <w:t xml:space="preserve"> </w:t>
            </w:r>
            <w:r>
              <w:rPr>
                <w:w w:val="105"/>
              </w:rPr>
              <w:t>stakeholders,</w:t>
            </w:r>
            <w:r>
              <w:rPr>
                <w:spacing w:val="-7"/>
                <w:w w:val="105"/>
              </w:rPr>
              <w:t xml:space="preserve"> </w:t>
            </w:r>
            <w:r>
              <w:rPr>
                <w:w w:val="105"/>
              </w:rPr>
              <w:t>to</w:t>
            </w:r>
            <w:r>
              <w:rPr>
                <w:spacing w:val="9"/>
                <w:w w:val="105"/>
              </w:rPr>
              <w:t xml:space="preserve"> </w:t>
            </w:r>
            <w:r>
              <w:rPr>
                <w:w w:val="105"/>
              </w:rPr>
              <w:t>synthesise external stakeholder</w:t>
            </w:r>
            <w:r>
              <w:rPr>
                <w:spacing w:val="40"/>
                <w:w w:val="105"/>
              </w:rPr>
              <w:t xml:space="preserve"> </w:t>
            </w:r>
            <w:r>
              <w:rPr>
                <w:w w:val="105"/>
              </w:rPr>
              <w:t>inputs and insights, and internally develop</w:t>
            </w:r>
            <w:r w:rsidR="00B1722B">
              <w:rPr>
                <w:w w:val="105"/>
              </w:rPr>
              <w:t xml:space="preserve"> </w:t>
            </w:r>
            <w:r w:rsidRPr="00B1722B">
              <w:rPr>
                <w:w w:val="105"/>
              </w:rPr>
              <w:t>programme</w:t>
            </w:r>
            <w:r w:rsidRPr="00B1722B">
              <w:rPr>
                <w:spacing w:val="10"/>
                <w:w w:val="105"/>
              </w:rPr>
              <w:t xml:space="preserve"> </w:t>
            </w:r>
            <w:r w:rsidRPr="00B1722B">
              <w:rPr>
                <w:w w:val="105"/>
              </w:rPr>
              <w:t>enhancements</w:t>
            </w:r>
            <w:r w:rsidR="00F67829">
              <w:rPr>
                <w:w w:val="105"/>
              </w:rPr>
              <w:t>.</w:t>
            </w:r>
          </w:p>
          <w:p w14:paraId="62E0AC1E" w14:textId="686316CC" w:rsidR="00B1722B" w:rsidRDefault="00B1722B" w:rsidP="0011554E">
            <w:pPr>
              <w:pStyle w:val="Bullets"/>
              <w:ind w:left="357" w:hanging="357"/>
            </w:pPr>
            <w:r>
              <w:rPr>
                <w:w w:val="105"/>
              </w:rPr>
              <w:t>Report</w:t>
            </w:r>
            <w:r>
              <w:rPr>
                <w:spacing w:val="-14"/>
                <w:w w:val="105"/>
              </w:rPr>
              <w:t xml:space="preserve"> </w:t>
            </w:r>
            <w:r>
              <w:rPr>
                <w:w w:val="105"/>
              </w:rPr>
              <w:t>to</w:t>
            </w:r>
            <w:r>
              <w:rPr>
                <w:spacing w:val="-3"/>
                <w:w w:val="105"/>
              </w:rPr>
              <w:t xml:space="preserve"> </w:t>
            </w:r>
            <w:r>
              <w:rPr>
                <w:w w:val="105"/>
              </w:rPr>
              <w:t>Head</w:t>
            </w:r>
            <w:r>
              <w:rPr>
                <w:spacing w:val="-14"/>
                <w:w w:val="105"/>
              </w:rPr>
              <w:t xml:space="preserve"> </w:t>
            </w:r>
            <w:r>
              <w:rPr>
                <w:w w:val="105"/>
              </w:rPr>
              <w:t>of</w:t>
            </w:r>
            <w:r>
              <w:rPr>
                <w:spacing w:val="-1"/>
                <w:w w:val="105"/>
              </w:rPr>
              <w:t xml:space="preserve"> </w:t>
            </w:r>
            <w:r>
              <w:rPr>
                <w:w w:val="105"/>
              </w:rPr>
              <w:t>Suicide</w:t>
            </w:r>
            <w:r>
              <w:rPr>
                <w:spacing w:val="-11"/>
                <w:w w:val="105"/>
              </w:rPr>
              <w:t xml:space="preserve"> </w:t>
            </w:r>
            <w:r>
              <w:rPr>
                <w:w w:val="105"/>
              </w:rPr>
              <w:t>Prevention</w:t>
            </w:r>
            <w:r>
              <w:rPr>
                <w:spacing w:val="-11"/>
                <w:w w:val="105"/>
              </w:rPr>
              <w:t xml:space="preserve"> </w:t>
            </w:r>
            <w:r>
              <w:rPr>
                <w:w w:val="105"/>
              </w:rPr>
              <w:t>&amp;</w:t>
            </w:r>
            <w:r>
              <w:rPr>
                <w:spacing w:val="-5"/>
                <w:w w:val="105"/>
              </w:rPr>
              <w:t xml:space="preserve"> </w:t>
            </w:r>
            <w:r>
              <w:rPr>
                <w:w w:val="105"/>
              </w:rPr>
              <w:t>Early</w:t>
            </w:r>
            <w:r>
              <w:rPr>
                <w:spacing w:val="-14"/>
                <w:w w:val="105"/>
              </w:rPr>
              <w:t xml:space="preserve"> </w:t>
            </w:r>
            <w:r>
              <w:rPr>
                <w:w w:val="105"/>
              </w:rPr>
              <w:t>Intervention</w:t>
            </w:r>
            <w:r>
              <w:rPr>
                <w:spacing w:val="-4"/>
                <w:w w:val="105"/>
              </w:rPr>
              <w:t xml:space="preserve"> </w:t>
            </w:r>
            <w:r>
              <w:rPr>
                <w:w w:val="105"/>
              </w:rPr>
              <w:t>on</w:t>
            </w:r>
            <w:r>
              <w:rPr>
                <w:spacing w:val="-19"/>
                <w:w w:val="105"/>
              </w:rPr>
              <w:t xml:space="preserve"> </w:t>
            </w:r>
            <w:r>
              <w:rPr>
                <w:w w:val="105"/>
              </w:rPr>
              <w:t>the</w:t>
            </w:r>
            <w:r>
              <w:rPr>
                <w:spacing w:val="-10"/>
                <w:w w:val="105"/>
              </w:rPr>
              <w:t xml:space="preserve"> </w:t>
            </w:r>
            <w:r>
              <w:rPr>
                <w:w w:val="105"/>
              </w:rPr>
              <w:t>progress of individual work streams and the overall project</w:t>
            </w:r>
            <w:r w:rsidR="00F67829">
              <w:rPr>
                <w:w w:val="105"/>
              </w:rPr>
              <w:t>.</w:t>
            </w:r>
          </w:p>
          <w:p w14:paraId="6029D3F0" w14:textId="6037DD6D" w:rsidR="00B1722B" w:rsidRDefault="00B1722B" w:rsidP="0011554E">
            <w:pPr>
              <w:pStyle w:val="Bullets"/>
              <w:ind w:left="357" w:hanging="357"/>
            </w:pPr>
            <w:r>
              <w:rPr>
                <w:w w:val="105"/>
              </w:rPr>
              <w:t>Ensure</w:t>
            </w:r>
            <w:r>
              <w:rPr>
                <w:spacing w:val="-7"/>
                <w:w w:val="105"/>
              </w:rPr>
              <w:t xml:space="preserve"> </w:t>
            </w:r>
            <w:r>
              <w:rPr>
                <w:w w:val="105"/>
              </w:rPr>
              <w:t>that</w:t>
            </w:r>
            <w:r>
              <w:rPr>
                <w:spacing w:val="-2"/>
                <w:w w:val="105"/>
              </w:rPr>
              <w:t xml:space="preserve"> </w:t>
            </w:r>
            <w:r>
              <w:rPr>
                <w:w w:val="105"/>
              </w:rPr>
              <w:t>all</w:t>
            </w:r>
            <w:r>
              <w:rPr>
                <w:spacing w:val="-5"/>
                <w:w w:val="105"/>
              </w:rPr>
              <w:t xml:space="preserve"> </w:t>
            </w:r>
            <w:r>
              <w:rPr>
                <w:w w:val="105"/>
              </w:rPr>
              <w:t>work</w:t>
            </w:r>
            <w:r>
              <w:rPr>
                <w:spacing w:val="-5"/>
                <w:w w:val="105"/>
              </w:rPr>
              <w:t xml:space="preserve"> </w:t>
            </w:r>
            <w:r>
              <w:rPr>
                <w:w w:val="105"/>
              </w:rPr>
              <w:t>is</w:t>
            </w:r>
            <w:r>
              <w:rPr>
                <w:spacing w:val="-9"/>
                <w:w w:val="105"/>
              </w:rPr>
              <w:t xml:space="preserve"> </w:t>
            </w:r>
            <w:r>
              <w:rPr>
                <w:w w:val="105"/>
              </w:rPr>
              <w:t>socially</w:t>
            </w:r>
            <w:r>
              <w:rPr>
                <w:spacing w:val="1"/>
                <w:w w:val="105"/>
              </w:rPr>
              <w:t xml:space="preserve"> </w:t>
            </w:r>
            <w:r>
              <w:rPr>
                <w:w w:val="105"/>
              </w:rPr>
              <w:t>inclusive</w:t>
            </w:r>
            <w:r>
              <w:rPr>
                <w:spacing w:val="3"/>
                <w:w w:val="105"/>
              </w:rPr>
              <w:t xml:space="preserve"> </w:t>
            </w:r>
            <w:r>
              <w:rPr>
                <w:w w:val="105"/>
              </w:rPr>
              <w:t>and</w:t>
            </w:r>
            <w:r>
              <w:rPr>
                <w:spacing w:val="-5"/>
                <w:w w:val="105"/>
              </w:rPr>
              <w:t xml:space="preserve"> </w:t>
            </w:r>
            <w:r>
              <w:rPr>
                <w:w w:val="105"/>
              </w:rPr>
              <w:t>respectful</w:t>
            </w:r>
            <w:r>
              <w:rPr>
                <w:spacing w:val="-1"/>
                <w:w w:val="105"/>
              </w:rPr>
              <w:t xml:space="preserve"> </w:t>
            </w:r>
            <w:r>
              <w:rPr>
                <w:w w:val="105"/>
              </w:rPr>
              <w:t>of</w:t>
            </w:r>
            <w:r>
              <w:rPr>
                <w:spacing w:val="7"/>
                <w:w w:val="105"/>
              </w:rPr>
              <w:t xml:space="preserve"> </w:t>
            </w:r>
            <w:r>
              <w:rPr>
                <w:spacing w:val="-2"/>
                <w:w w:val="105"/>
              </w:rPr>
              <w:t>diversity.</w:t>
            </w:r>
          </w:p>
        </w:tc>
      </w:tr>
      <w:tr w:rsidR="007A177E" w14:paraId="0BD73BF6" w14:textId="77777777" w:rsidTr="002D5E50">
        <w:trPr>
          <w:trHeight w:val="228"/>
        </w:trPr>
        <w:tc>
          <w:tcPr>
            <w:tcW w:w="2830" w:type="dxa"/>
            <w:tcBorders>
              <w:top w:val="single" w:sz="2" w:space="0" w:color="0070F1" w:themeColor="accent1"/>
            </w:tcBorders>
            <w:shd w:val="clear" w:color="auto" w:fill="E5F1FE" w:themeFill="accent5"/>
          </w:tcPr>
          <w:p w14:paraId="34FB7E55" w14:textId="77777777" w:rsidR="007A177E" w:rsidRDefault="007A177E" w:rsidP="007A177E">
            <w:pPr>
              <w:pStyle w:val="Heading4"/>
              <w:framePr w:hSpace="0" w:wrap="auto" w:vAnchor="margin" w:yAlign="inline"/>
              <w:suppressOverlap w:val="0"/>
              <w:outlineLvl w:val="3"/>
            </w:pPr>
            <w:r>
              <w:lastRenderedPageBreak/>
              <w:t>Key stakeholders</w:t>
            </w:r>
          </w:p>
        </w:tc>
        <w:tc>
          <w:tcPr>
            <w:tcW w:w="6798" w:type="dxa"/>
            <w:gridSpan w:val="5"/>
            <w:tcBorders>
              <w:top w:val="single" w:sz="2" w:space="0" w:color="0070F1" w:themeColor="accent1"/>
            </w:tcBorders>
            <w:shd w:val="clear" w:color="auto" w:fill="FFFFFF" w:themeFill="background2"/>
            <w:vAlign w:val="center"/>
          </w:tcPr>
          <w:p w14:paraId="2F2A5D2B" w14:textId="77777777" w:rsidR="007A177E" w:rsidRDefault="007A177E" w:rsidP="007A177E">
            <w:pPr>
              <w:pStyle w:val="Tableheading"/>
            </w:pPr>
            <w:r>
              <w:t>Key stakeholders</w:t>
            </w:r>
          </w:p>
          <w:p w14:paraId="07450FBE" w14:textId="3AC68030" w:rsidR="007A177E" w:rsidRPr="008B605D" w:rsidRDefault="007A177E" w:rsidP="007A177E">
            <w:pPr>
              <w:spacing w:after="0"/>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 xml:space="preserve">This position reports to the </w:t>
            </w:r>
            <w:r>
              <w:rPr>
                <w:rFonts w:ascii="Calibri" w:eastAsia="Times New Roman" w:hAnsi="Calibri" w:cs="Calibri"/>
                <w:lang w:eastAsia="en-AU"/>
              </w:rPr>
              <w:t>Head of Suicide Prevention and Early Intervention</w:t>
            </w:r>
            <w:r w:rsidRPr="008B605D">
              <w:rPr>
                <w:rFonts w:ascii="Calibri" w:eastAsia="Times New Roman" w:hAnsi="Calibri" w:cs="Calibri"/>
                <w:lang w:eastAsia="en-AU"/>
              </w:rPr>
              <w:t xml:space="preserve">. The position is within the </w:t>
            </w:r>
            <w:r>
              <w:rPr>
                <w:rFonts w:ascii="Calibri" w:eastAsia="Times New Roman" w:hAnsi="Calibri" w:cs="Calibri"/>
                <w:lang w:eastAsia="en-AU"/>
              </w:rPr>
              <w:t>Services and Supports Group</w:t>
            </w:r>
            <w:r w:rsidRPr="008B605D">
              <w:rPr>
                <w:rFonts w:ascii="Calibri" w:eastAsia="Times New Roman" w:hAnsi="Calibri" w:cs="Calibri"/>
                <w:lang w:eastAsia="en-AU"/>
              </w:rPr>
              <w:t xml:space="preserve">, comprising of </w:t>
            </w:r>
            <w:r>
              <w:rPr>
                <w:rFonts w:ascii="Calibri" w:eastAsia="Times New Roman" w:hAnsi="Calibri" w:cs="Calibri"/>
                <w:lang w:eastAsia="en-AU"/>
              </w:rPr>
              <w:t xml:space="preserve">product and </w:t>
            </w:r>
            <w:r w:rsidRPr="008B605D">
              <w:rPr>
                <w:rFonts w:ascii="Calibri" w:eastAsia="Times New Roman" w:hAnsi="Calibri" w:cs="Calibri"/>
                <w:lang w:eastAsia="en-AU"/>
              </w:rPr>
              <w:t xml:space="preserve">project managers, project </w:t>
            </w:r>
            <w:r>
              <w:rPr>
                <w:rFonts w:ascii="Calibri" w:eastAsia="Times New Roman" w:hAnsi="Calibri" w:cs="Calibri"/>
                <w:lang w:eastAsia="en-AU"/>
              </w:rPr>
              <w:t>officers</w:t>
            </w:r>
            <w:r w:rsidRPr="008B605D">
              <w:rPr>
                <w:rFonts w:ascii="Calibri" w:eastAsia="Times New Roman" w:hAnsi="Calibri" w:cs="Calibri"/>
                <w:lang w:eastAsia="en-AU"/>
              </w:rPr>
              <w:t>, project coordinators, social media, forum moderators and administration support. </w:t>
            </w:r>
          </w:p>
          <w:p w14:paraId="7F79ACAF" w14:textId="77777777" w:rsidR="007A177E" w:rsidRPr="008B605D" w:rsidRDefault="007A177E" w:rsidP="007A177E">
            <w:pPr>
              <w:spacing w:after="0"/>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The successful candidate must work cross-functionally with other Beyond Blue teams and external stakeholders. </w:t>
            </w:r>
          </w:p>
          <w:p w14:paraId="07FD1549" w14:textId="77777777" w:rsidR="007A177E" w:rsidRPr="008B605D" w:rsidRDefault="007A177E" w:rsidP="007A177E">
            <w:pPr>
              <w:spacing w:after="0"/>
              <w:ind w:left="345" w:hanging="345"/>
              <w:jc w:val="both"/>
              <w:textAlignment w:val="baseline"/>
              <w:rPr>
                <w:rFonts w:ascii="Segoe UI" w:eastAsia="Times New Roman" w:hAnsi="Segoe UI" w:cs="Segoe UI"/>
                <w:sz w:val="18"/>
                <w:szCs w:val="18"/>
                <w:lang w:eastAsia="en-AU"/>
              </w:rPr>
            </w:pPr>
            <w:r w:rsidRPr="008B605D">
              <w:rPr>
                <w:rFonts w:ascii="Calibri" w:eastAsia="Times New Roman" w:hAnsi="Calibri" w:cs="Calibri"/>
                <w:b/>
                <w:bCs/>
                <w:lang w:eastAsia="en-AU"/>
              </w:rPr>
              <w:t>Internal</w:t>
            </w:r>
            <w:r w:rsidRPr="008B605D">
              <w:rPr>
                <w:rFonts w:ascii="Calibri" w:eastAsia="Times New Roman" w:hAnsi="Calibri" w:cs="Calibri"/>
                <w:lang w:eastAsia="en-AU"/>
              </w:rPr>
              <w:t> </w:t>
            </w:r>
          </w:p>
          <w:p w14:paraId="13263C9B" w14:textId="77777777" w:rsidR="007A177E" w:rsidRPr="00501230" w:rsidRDefault="007A177E" w:rsidP="009749AC">
            <w:pPr>
              <w:pStyle w:val="Bullets"/>
              <w:ind w:left="357" w:hanging="357"/>
            </w:pPr>
            <w:r w:rsidRPr="00501230">
              <w:t>Team members </w:t>
            </w:r>
          </w:p>
          <w:p w14:paraId="3CEFCACB" w14:textId="77777777" w:rsidR="007A177E" w:rsidRPr="00501230" w:rsidRDefault="007A177E" w:rsidP="009749AC">
            <w:pPr>
              <w:pStyle w:val="Bullets"/>
              <w:ind w:left="357" w:hanging="357"/>
            </w:pPr>
            <w:r w:rsidRPr="00501230">
              <w:t>Marketing and Communications </w:t>
            </w:r>
          </w:p>
          <w:p w14:paraId="5643A855" w14:textId="77777777" w:rsidR="007A177E" w:rsidRPr="00501230" w:rsidRDefault="007A177E" w:rsidP="009749AC">
            <w:pPr>
              <w:pStyle w:val="Bullets"/>
              <w:ind w:left="357" w:hanging="357"/>
            </w:pPr>
            <w:r w:rsidRPr="00501230">
              <w:t>Community Engagement </w:t>
            </w:r>
          </w:p>
          <w:p w14:paraId="7C9DB5DE" w14:textId="77777777" w:rsidR="007A177E" w:rsidRPr="00501230" w:rsidRDefault="007A177E" w:rsidP="009749AC">
            <w:pPr>
              <w:pStyle w:val="Bullets"/>
              <w:ind w:left="357" w:hanging="357"/>
            </w:pPr>
            <w:r w:rsidRPr="00501230">
              <w:t>Research &amp; Evaluation </w:t>
            </w:r>
          </w:p>
          <w:p w14:paraId="4957028E" w14:textId="77777777" w:rsidR="007A177E" w:rsidRPr="00501230" w:rsidRDefault="007A177E" w:rsidP="009749AC">
            <w:pPr>
              <w:pStyle w:val="Bullets"/>
              <w:ind w:left="357" w:hanging="357"/>
            </w:pPr>
            <w:r w:rsidRPr="00501230">
              <w:t>Policy  </w:t>
            </w:r>
          </w:p>
          <w:p w14:paraId="2A09D3A2" w14:textId="77777777" w:rsidR="007A177E" w:rsidRPr="00501230" w:rsidRDefault="007A177E" w:rsidP="009749AC">
            <w:pPr>
              <w:pStyle w:val="Bullets"/>
              <w:ind w:left="357" w:hanging="357"/>
            </w:pPr>
            <w:r w:rsidRPr="00501230">
              <w:t>Finance/Corporate Services </w:t>
            </w:r>
          </w:p>
          <w:p w14:paraId="5608C3B8" w14:textId="77777777" w:rsidR="007A177E" w:rsidRPr="00501230" w:rsidRDefault="007A177E" w:rsidP="009749AC">
            <w:pPr>
              <w:pStyle w:val="Bullets"/>
              <w:ind w:left="357" w:hanging="357"/>
            </w:pPr>
            <w:r w:rsidRPr="00501230">
              <w:t>I.T. </w:t>
            </w:r>
          </w:p>
          <w:p w14:paraId="294949D4" w14:textId="77777777" w:rsidR="007A177E" w:rsidRPr="008B605D" w:rsidRDefault="007A177E" w:rsidP="009749AC">
            <w:pPr>
              <w:pStyle w:val="Bullets"/>
              <w:ind w:left="357" w:hanging="357"/>
              <w:rPr>
                <w:rFonts w:ascii="Segoe UI" w:eastAsia="Times New Roman" w:hAnsi="Segoe UI" w:cs="Segoe UI"/>
                <w:sz w:val="18"/>
                <w:szCs w:val="18"/>
                <w:lang w:eastAsia="en-AU"/>
              </w:rPr>
            </w:pPr>
            <w:r w:rsidRPr="00501230">
              <w:t>Beyond Blue</w:t>
            </w:r>
            <w:r w:rsidRPr="008B605D">
              <w:rPr>
                <w:rFonts w:ascii="Calibri" w:eastAsia="Times New Roman" w:hAnsi="Calibri" w:cs="Calibri"/>
                <w:i/>
                <w:iCs/>
                <w:lang w:eastAsia="en-AU"/>
              </w:rPr>
              <w:t xml:space="preserve"> </w:t>
            </w:r>
            <w:r w:rsidRPr="008B605D">
              <w:rPr>
                <w:rFonts w:ascii="Calibri" w:eastAsia="Times New Roman" w:hAnsi="Calibri" w:cs="Calibri"/>
                <w:lang w:eastAsia="en-AU"/>
              </w:rPr>
              <w:t>Board members, CEO and all staff </w:t>
            </w:r>
          </w:p>
          <w:p w14:paraId="7BA217A3" w14:textId="77777777" w:rsidR="007A177E" w:rsidRPr="008B605D" w:rsidRDefault="007A177E" w:rsidP="007A177E">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b/>
                <w:bCs/>
                <w:lang w:eastAsia="en-AU"/>
              </w:rPr>
              <w:t>External</w:t>
            </w:r>
            <w:r w:rsidRPr="008B605D">
              <w:rPr>
                <w:rFonts w:ascii="Calibri" w:eastAsia="Times New Roman" w:hAnsi="Calibri" w:cs="Calibri"/>
                <w:lang w:eastAsia="en-AU"/>
              </w:rPr>
              <w:t> </w:t>
            </w:r>
          </w:p>
          <w:p w14:paraId="1471CF50" w14:textId="77777777" w:rsidR="007A177E" w:rsidRPr="00501230" w:rsidRDefault="007A177E" w:rsidP="009749AC">
            <w:pPr>
              <w:pStyle w:val="Bullets"/>
              <w:ind w:left="357" w:hanging="357"/>
            </w:pPr>
            <w:r w:rsidRPr="00501230">
              <w:t>Project partners and stakeholders </w:t>
            </w:r>
          </w:p>
          <w:p w14:paraId="6D2AF6B8" w14:textId="77777777" w:rsidR="007A177E" w:rsidRPr="00501230" w:rsidRDefault="007A177E" w:rsidP="009749AC">
            <w:pPr>
              <w:pStyle w:val="Bullets"/>
              <w:ind w:left="357" w:hanging="357"/>
            </w:pPr>
            <w:r w:rsidRPr="00501230">
              <w:t>State/Territory Governments </w:t>
            </w:r>
          </w:p>
          <w:p w14:paraId="2447D5B3" w14:textId="77777777" w:rsidR="007A177E" w:rsidRPr="00501230" w:rsidRDefault="007A177E" w:rsidP="009749AC">
            <w:pPr>
              <w:pStyle w:val="Bullets"/>
              <w:ind w:left="357" w:hanging="357"/>
            </w:pPr>
            <w:r w:rsidRPr="00501230">
              <w:t>Primary Health Networks and related service providers </w:t>
            </w:r>
          </w:p>
          <w:p w14:paraId="72DDFA62" w14:textId="77777777" w:rsidR="007A177E" w:rsidRPr="00501230" w:rsidRDefault="007A177E" w:rsidP="009749AC">
            <w:pPr>
              <w:pStyle w:val="Bullets"/>
              <w:ind w:left="357" w:hanging="357"/>
            </w:pPr>
            <w:r w:rsidRPr="00501230">
              <w:t>Contracted Service Providers and associated consortium members </w:t>
            </w:r>
          </w:p>
          <w:p w14:paraId="48DB70F2" w14:textId="77777777" w:rsidR="007A177E" w:rsidRPr="00501230" w:rsidRDefault="007A177E" w:rsidP="009749AC">
            <w:pPr>
              <w:pStyle w:val="Bullets"/>
              <w:ind w:left="357" w:hanging="357"/>
            </w:pPr>
            <w:r w:rsidRPr="00501230">
              <w:lastRenderedPageBreak/>
              <w:t>Governance/Advisory Committee Members </w:t>
            </w:r>
          </w:p>
          <w:p w14:paraId="2588CAC2" w14:textId="77777777" w:rsidR="007A177E" w:rsidRDefault="007A177E" w:rsidP="009749AC">
            <w:pPr>
              <w:pStyle w:val="Bullets"/>
              <w:ind w:left="357" w:hanging="357"/>
            </w:pPr>
            <w:r w:rsidRPr="00501230">
              <w:t>Beyond Blue supporters</w:t>
            </w:r>
          </w:p>
        </w:tc>
      </w:tr>
      <w:tr w:rsidR="003E45A4" w14:paraId="22AF8158" w14:textId="77777777" w:rsidTr="00CD0AE7">
        <w:trPr>
          <w:trHeight w:val="569"/>
        </w:trPr>
        <w:tc>
          <w:tcPr>
            <w:tcW w:w="9628" w:type="dxa"/>
            <w:gridSpan w:val="6"/>
            <w:shd w:val="clear" w:color="auto" w:fill="FFFFFF" w:themeFill="background1"/>
            <w:vAlign w:val="center"/>
          </w:tcPr>
          <w:p w14:paraId="28716EAC" w14:textId="4F1C8556" w:rsidR="003E45A4" w:rsidRDefault="001D313D" w:rsidP="00CD0AE7">
            <w:pPr>
              <w:pStyle w:val="Tableheading"/>
            </w:pPr>
            <w:r>
              <w:lastRenderedPageBreak/>
              <w:t>What we are looking for</w:t>
            </w:r>
          </w:p>
        </w:tc>
      </w:tr>
      <w:tr w:rsidR="003E45A4" w14:paraId="7BDFE60A" w14:textId="77777777" w:rsidTr="00CD0AE7">
        <w:trPr>
          <w:trHeight w:val="231"/>
        </w:trPr>
        <w:tc>
          <w:tcPr>
            <w:tcW w:w="2830" w:type="dxa"/>
            <w:tcBorders>
              <w:top w:val="single" w:sz="2" w:space="0" w:color="0070F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5"/>
            <w:tcBorders>
              <w:top w:val="single" w:sz="2" w:space="0" w:color="0070F1"/>
            </w:tcBorders>
            <w:shd w:val="clear" w:color="auto" w:fill="FFFFFF" w:themeFill="background1"/>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17E610A" w14:textId="77777777" w:rsidR="00900058" w:rsidRPr="00900058" w:rsidRDefault="00900058" w:rsidP="00900058">
            <w:pPr>
              <w:spacing w:before="120"/>
              <w:rPr>
                <w:rFonts w:cstheme="minorHAnsi"/>
                <w:b/>
                <w:bCs/>
              </w:rPr>
            </w:pPr>
            <w:r w:rsidRPr="00900058">
              <w:rPr>
                <w:rFonts w:cstheme="minorHAnsi"/>
                <w:b/>
                <w:bCs/>
              </w:rPr>
              <w:t>Communication</w:t>
            </w:r>
          </w:p>
          <w:p w14:paraId="785D9BCA" w14:textId="77777777" w:rsidR="00900058" w:rsidRPr="00190670" w:rsidRDefault="00900058" w:rsidP="009749AC">
            <w:pPr>
              <w:pStyle w:val="Bullets"/>
              <w:ind w:left="357" w:hanging="357"/>
            </w:pPr>
            <w:r w:rsidRPr="00190670">
              <w:t>Communicates and presents confidently and regularly with employees, community members and other stakeholders to gain their commitment; translates specialist knowledge into common language</w:t>
            </w:r>
          </w:p>
          <w:p w14:paraId="3A2E8873" w14:textId="77777777" w:rsidR="00900058" w:rsidRPr="00190670" w:rsidRDefault="00900058" w:rsidP="009749AC">
            <w:pPr>
              <w:pStyle w:val="Bullets"/>
              <w:ind w:left="357" w:hanging="357"/>
            </w:pPr>
            <w:r w:rsidRPr="00190670">
              <w:t>Uses storytelling to inform others, motivate action and influences stakeholders by connecting rationally and emotionally</w:t>
            </w:r>
          </w:p>
          <w:p w14:paraId="26356531" w14:textId="77777777" w:rsidR="00900058" w:rsidRPr="00190670" w:rsidRDefault="00900058" w:rsidP="009749AC">
            <w:pPr>
              <w:pStyle w:val="Bullets"/>
              <w:ind w:left="357" w:hanging="357"/>
            </w:pPr>
            <w:r w:rsidRPr="00190670">
              <w:t>Negotiates from an informed and credible position and presents persuasive counter arguments; Isn’t afraid to have the tough conversations </w:t>
            </w:r>
          </w:p>
          <w:p w14:paraId="6977D23A" w14:textId="77777777" w:rsidR="00900058" w:rsidRPr="00190670" w:rsidRDefault="00900058" w:rsidP="009749AC">
            <w:pPr>
              <w:pStyle w:val="Bullets"/>
              <w:ind w:left="357" w:hanging="357"/>
            </w:pPr>
            <w:r w:rsidRPr="00190670">
              <w:t>Creates opportunities for others to be heard and bring their point of view, encouraging robust, respectful debate </w:t>
            </w:r>
          </w:p>
          <w:p w14:paraId="34C8FB93" w14:textId="249DA13C" w:rsidR="00900058" w:rsidRPr="00190670" w:rsidRDefault="00900058" w:rsidP="009749AC">
            <w:pPr>
              <w:pStyle w:val="Bullets"/>
              <w:ind w:left="357" w:hanging="357"/>
            </w:pPr>
            <w:r w:rsidRPr="00190670">
              <w:t>Clearly articulates the Beyond Blue vision and upholds the brand and establishes own credibility, integrity and personal brand in interactions</w:t>
            </w:r>
          </w:p>
          <w:p w14:paraId="1D67FD96" w14:textId="77777777" w:rsidR="00900058" w:rsidRPr="00900058" w:rsidRDefault="00900058" w:rsidP="00900058">
            <w:pPr>
              <w:spacing w:before="120"/>
              <w:rPr>
                <w:rFonts w:cstheme="minorHAnsi"/>
                <w:b/>
                <w:bCs/>
              </w:rPr>
            </w:pPr>
            <w:r w:rsidRPr="00900058">
              <w:rPr>
                <w:rFonts w:cstheme="minorHAnsi"/>
                <w:b/>
                <w:bCs/>
              </w:rPr>
              <w:t xml:space="preserve">Community centricity </w:t>
            </w:r>
          </w:p>
          <w:p w14:paraId="39782C66" w14:textId="77777777" w:rsidR="00900058" w:rsidRPr="00190670" w:rsidRDefault="00900058" w:rsidP="009749AC">
            <w:pPr>
              <w:pStyle w:val="Bullets"/>
              <w:ind w:left="357" w:hanging="357"/>
            </w:pPr>
            <w:r w:rsidRPr="00900058">
              <w:rPr>
                <w:rFonts w:cstheme="minorHAnsi"/>
              </w:rPr>
              <w:t xml:space="preserve">Uses </w:t>
            </w:r>
            <w:r w:rsidRPr="00190670">
              <w:t>human centred or relevant design experience approaches to create and or support meaningful service improvements or service excellence</w:t>
            </w:r>
          </w:p>
          <w:p w14:paraId="524C14C7" w14:textId="77777777" w:rsidR="00900058" w:rsidRPr="00190670" w:rsidRDefault="00900058" w:rsidP="009749AC">
            <w:pPr>
              <w:pStyle w:val="Bullets"/>
              <w:ind w:left="357" w:hanging="357"/>
            </w:pPr>
            <w:r w:rsidRPr="00190670">
              <w:t>Competently advocates for mental health and suicide prevention services and information, empathically putting community at the heart of all we do</w:t>
            </w:r>
          </w:p>
          <w:p w14:paraId="4BC5FA52" w14:textId="77777777" w:rsidR="00900058" w:rsidRPr="00190670" w:rsidRDefault="00900058" w:rsidP="009749AC">
            <w:pPr>
              <w:pStyle w:val="Bullets"/>
              <w:ind w:left="357" w:hanging="357"/>
            </w:pPr>
            <w:r w:rsidRPr="00190670">
              <w:t>Emphasises importance of community and stakeholder relationships over products and solutions with commitment to strengthen and maintain trust and demonstrates integrity</w:t>
            </w:r>
          </w:p>
          <w:p w14:paraId="05210870" w14:textId="77777777" w:rsidR="00900058" w:rsidRPr="00190670" w:rsidRDefault="00900058" w:rsidP="009749AC">
            <w:pPr>
              <w:pStyle w:val="Bullets"/>
              <w:ind w:left="357" w:hanging="357"/>
            </w:pPr>
            <w:r w:rsidRPr="00190670">
              <w:t>Is aware of unintentional biases or power dynamics and takes steps to reduce bias in interactions and call out undesirable behaviours</w:t>
            </w:r>
          </w:p>
          <w:p w14:paraId="5F4D72B3" w14:textId="77777777" w:rsidR="00900058" w:rsidRPr="00900058" w:rsidRDefault="00900058" w:rsidP="009749AC">
            <w:pPr>
              <w:pStyle w:val="Bullets"/>
              <w:ind w:left="357" w:hanging="357"/>
              <w:rPr>
                <w:rFonts w:cstheme="minorHAnsi"/>
              </w:rPr>
            </w:pPr>
            <w:r w:rsidRPr="00190670">
              <w:t>Factors in an external</w:t>
            </w:r>
            <w:r w:rsidRPr="00900058">
              <w:rPr>
                <w:rFonts w:cstheme="minorHAnsi"/>
              </w:rPr>
              <w:t xml:space="preserve"> perspective to drive internal process design </w:t>
            </w:r>
          </w:p>
          <w:p w14:paraId="393617D7" w14:textId="77777777" w:rsidR="00900058" w:rsidRPr="00190670" w:rsidRDefault="00900058" w:rsidP="00900058">
            <w:pPr>
              <w:spacing w:before="120"/>
              <w:rPr>
                <w:rFonts w:cstheme="minorHAnsi"/>
                <w:b/>
                <w:bCs/>
              </w:rPr>
            </w:pPr>
            <w:r w:rsidRPr="00190670">
              <w:rPr>
                <w:rFonts w:cstheme="minorHAnsi"/>
                <w:b/>
                <w:bCs/>
              </w:rPr>
              <w:t>Innovative mindset</w:t>
            </w:r>
          </w:p>
          <w:p w14:paraId="6B3D72A3" w14:textId="77777777" w:rsidR="00900058" w:rsidRPr="00190670" w:rsidRDefault="00900058" w:rsidP="009749AC">
            <w:pPr>
              <w:pStyle w:val="Bullets"/>
              <w:ind w:left="357" w:hanging="357"/>
            </w:pPr>
            <w:r w:rsidRPr="00190670">
              <w:t>Proactively seeks out alternative ways to improve the quality, cost effectiveness and overall value add and service excellence for Beyond Blue’s services</w:t>
            </w:r>
          </w:p>
          <w:p w14:paraId="2F63C7C2" w14:textId="77777777" w:rsidR="00900058" w:rsidRPr="00190670" w:rsidRDefault="00900058" w:rsidP="009749AC">
            <w:pPr>
              <w:pStyle w:val="Bullets"/>
              <w:ind w:left="357" w:hanging="357"/>
            </w:pPr>
            <w:r w:rsidRPr="00190670">
              <w:t>Builds a work environment that encourages calculated risks, experimentation, and iteration, working collaboratively to explore new approaches and provide input to problems.</w:t>
            </w:r>
          </w:p>
          <w:p w14:paraId="21F330B9" w14:textId="77777777" w:rsidR="00900058" w:rsidRPr="00190670" w:rsidRDefault="00900058" w:rsidP="009749AC">
            <w:pPr>
              <w:pStyle w:val="Bullets"/>
              <w:ind w:left="357" w:hanging="357"/>
            </w:pPr>
            <w:r w:rsidRPr="00190670">
              <w:lastRenderedPageBreak/>
              <w:t>Brings together diverse groups of people to bridge siloes, broaden thinking and start a dialogue</w:t>
            </w:r>
          </w:p>
          <w:p w14:paraId="09A0FB7B" w14:textId="77777777" w:rsidR="00900058" w:rsidRPr="00190670" w:rsidRDefault="00900058" w:rsidP="009749AC">
            <w:pPr>
              <w:pStyle w:val="Bullets"/>
              <w:ind w:left="357" w:hanging="357"/>
            </w:pPr>
            <w:r w:rsidRPr="00190670">
              <w:t>Translates creative ideas into business improvements or practical solutions, facilitating implementation and change</w:t>
            </w:r>
          </w:p>
          <w:p w14:paraId="7FDC6217" w14:textId="77777777" w:rsidR="00900058" w:rsidRPr="00900058" w:rsidRDefault="00900058" w:rsidP="009749AC">
            <w:pPr>
              <w:pStyle w:val="Bullets"/>
              <w:ind w:left="357" w:hanging="357"/>
              <w:rPr>
                <w:rFonts w:cstheme="minorHAnsi"/>
              </w:rPr>
            </w:pPr>
            <w:r w:rsidRPr="00190670">
              <w:t>Bounces back quickly from adversity or failed ideas and takes steps to learn from</w:t>
            </w:r>
            <w:r w:rsidRPr="00900058">
              <w:rPr>
                <w:rFonts w:cstheme="minorHAnsi"/>
              </w:rPr>
              <w:t xml:space="preserve"> mistakes to make future improvements</w:t>
            </w:r>
          </w:p>
          <w:p w14:paraId="44AC0657" w14:textId="77777777" w:rsidR="00900058" w:rsidRPr="00190670" w:rsidRDefault="00900058" w:rsidP="00900058">
            <w:pPr>
              <w:spacing w:before="120"/>
              <w:rPr>
                <w:rFonts w:cstheme="minorHAnsi"/>
                <w:b/>
                <w:bCs/>
              </w:rPr>
            </w:pPr>
            <w:r w:rsidRPr="00190670">
              <w:rPr>
                <w:rFonts w:cstheme="minorHAnsi"/>
                <w:b/>
                <w:bCs/>
              </w:rPr>
              <w:t>Digital discovery</w:t>
            </w:r>
          </w:p>
          <w:p w14:paraId="167C065C" w14:textId="77777777" w:rsidR="00900058" w:rsidRPr="00190670" w:rsidRDefault="00900058" w:rsidP="009749AC">
            <w:pPr>
              <w:pStyle w:val="Bullets"/>
              <w:ind w:left="357" w:hanging="357"/>
            </w:pPr>
            <w:r w:rsidRPr="00190670">
              <w:t>Establishes digital protocols and works effectively within a hybrid team </w:t>
            </w:r>
          </w:p>
          <w:p w14:paraId="2F0CA73A" w14:textId="77777777" w:rsidR="00900058" w:rsidRPr="00190670" w:rsidRDefault="00900058" w:rsidP="009749AC">
            <w:pPr>
              <w:pStyle w:val="Bullets"/>
              <w:ind w:left="357" w:hanging="357"/>
            </w:pPr>
            <w:r w:rsidRPr="00190670">
              <w:t>Actively embeds digital strategies and promotes the use of technology and digital tools in day-to-day activities to better manage services and processes </w:t>
            </w:r>
          </w:p>
          <w:p w14:paraId="13783191" w14:textId="77777777" w:rsidR="00900058" w:rsidRPr="00190670" w:rsidRDefault="00900058" w:rsidP="009749AC">
            <w:pPr>
              <w:pStyle w:val="Bullets"/>
              <w:ind w:left="357" w:hanging="357"/>
            </w:pPr>
            <w:r w:rsidRPr="00190670">
              <w:t>Applies appropriate consideration of data governance, legal security and privacy issues, and creates new opportunities for data information sharing</w:t>
            </w:r>
          </w:p>
          <w:p w14:paraId="051244D2" w14:textId="77777777" w:rsidR="00900058" w:rsidRPr="00190670" w:rsidRDefault="00900058" w:rsidP="009749AC">
            <w:pPr>
              <w:pStyle w:val="Bullets"/>
              <w:ind w:left="357" w:hanging="357"/>
            </w:pPr>
            <w:r w:rsidRPr="00190670">
              <w:t>Demonstrates a strong understanding of the importance of cyber security </w:t>
            </w:r>
          </w:p>
          <w:p w14:paraId="28E6E829" w14:textId="77777777" w:rsidR="00900058" w:rsidRPr="00190670" w:rsidRDefault="00900058" w:rsidP="009749AC">
            <w:pPr>
              <w:pStyle w:val="Bullets"/>
              <w:ind w:left="357" w:hanging="357"/>
            </w:pPr>
            <w:r w:rsidRPr="00190670">
              <w:t>Ensure fit for purpose cross-functional processes drive technical solutions</w:t>
            </w:r>
          </w:p>
          <w:p w14:paraId="3D652564" w14:textId="77777777" w:rsidR="00900058" w:rsidRPr="00190670" w:rsidRDefault="00900058" w:rsidP="00900058">
            <w:pPr>
              <w:spacing w:before="120"/>
              <w:rPr>
                <w:rFonts w:cstheme="minorHAnsi"/>
                <w:b/>
                <w:bCs/>
              </w:rPr>
            </w:pPr>
            <w:r w:rsidRPr="00190670">
              <w:rPr>
                <w:rFonts w:cstheme="minorHAnsi"/>
                <w:b/>
                <w:bCs/>
              </w:rPr>
              <w:t>Partnering</w:t>
            </w:r>
          </w:p>
          <w:p w14:paraId="6C584584" w14:textId="77777777" w:rsidR="00900058" w:rsidRPr="00190670" w:rsidRDefault="00900058" w:rsidP="009749AC">
            <w:pPr>
              <w:pStyle w:val="Bullets"/>
              <w:ind w:left="357" w:hanging="357"/>
            </w:pPr>
            <w:r w:rsidRPr="00190670">
              <w:t>Oversees program delivery and ensures partnering activities are informed by Beyond Blue’s vision, values and strategies to achieve high quality outcomes Keeps partners and stakeholders accountable for delivering on contractual requirements through reporting insights and regular forums to communicate</w:t>
            </w:r>
          </w:p>
          <w:p w14:paraId="116FD124" w14:textId="77777777" w:rsidR="00900058" w:rsidRPr="00190670" w:rsidRDefault="00900058" w:rsidP="009749AC">
            <w:pPr>
              <w:pStyle w:val="Bullets"/>
              <w:ind w:left="357" w:hanging="357"/>
            </w:pPr>
            <w:r w:rsidRPr="00190670">
              <w:t>Identifies opportunities and actively looks for synergies across initiatives for cross-functional collaboration and partnership development</w:t>
            </w:r>
          </w:p>
          <w:p w14:paraId="09B7130B" w14:textId="77777777" w:rsidR="00900058" w:rsidRPr="00190670" w:rsidRDefault="00900058" w:rsidP="009749AC">
            <w:pPr>
              <w:pStyle w:val="Bullets"/>
              <w:ind w:left="357" w:hanging="357"/>
            </w:pPr>
            <w:r w:rsidRPr="00190670">
              <w:t>Works with partners to contribute to the mental health and suicide prevention knowledge base; manages and deepens the relationship to become a trusted partner and knows how and when to escalate issues</w:t>
            </w:r>
          </w:p>
          <w:p w14:paraId="4F6252FA" w14:textId="77777777" w:rsidR="00900058" w:rsidRPr="00190670" w:rsidRDefault="00900058" w:rsidP="009749AC">
            <w:pPr>
              <w:pStyle w:val="Bullets"/>
              <w:ind w:left="357" w:hanging="357"/>
            </w:pPr>
            <w:r w:rsidRPr="00190670">
              <w:t>Has strong financial literacy with ability to manage budgets and apply commercial processes to make appropriate judgements</w:t>
            </w:r>
          </w:p>
          <w:p w14:paraId="0A1633B0" w14:textId="77777777" w:rsidR="00900058" w:rsidRPr="00190670" w:rsidRDefault="00900058" w:rsidP="009749AC">
            <w:pPr>
              <w:pStyle w:val="Bullets"/>
              <w:ind w:left="357" w:hanging="357"/>
            </w:pPr>
            <w:r w:rsidRPr="00190670">
              <w:t>Understands how to successfully navigate the complexity of the organisation and broader sector’s ecosystem and operating environment</w:t>
            </w:r>
          </w:p>
          <w:p w14:paraId="10C9ABE0" w14:textId="77777777" w:rsidR="00900058" w:rsidRPr="00190670" w:rsidRDefault="00900058" w:rsidP="00900058">
            <w:pPr>
              <w:spacing w:before="120"/>
              <w:rPr>
                <w:rFonts w:cstheme="minorHAnsi"/>
                <w:b/>
                <w:bCs/>
              </w:rPr>
            </w:pPr>
            <w:r w:rsidRPr="00190670">
              <w:rPr>
                <w:rFonts w:cstheme="minorHAnsi"/>
                <w:b/>
                <w:bCs/>
              </w:rPr>
              <w:t>Agility</w:t>
            </w:r>
          </w:p>
          <w:p w14:paraId="23D3680C" w14:textId="77777777" w:rsidR="00900058" w:rsidRPr="00190670" w:rsidRDefault="00900058" w:rsidP="009749AC">
            <w:pPr>
              <w:pStyle w:val="Bullets"/>
              <w:ind w:left="357" w:hanging="357"/>
            </w:pPr>
            <w:r w:rsidRPr="00190670">
              <w:t>Applies principles of agile mindsets and tools to projects, tasks and collaborations; coaches others to implement agile mindsets, practices and risk management processes </w:t>
            </w:r>
          </w:p>
          <w:p w14:paraId="004B6CA1" w14:textId="77777777" w:rsidR="00900058" w:rsidRPr="00190670" w:rsidRDefault="00900058" w:rsidP="009749AC">
            <w:pPr>
              <w:pStyle w:val="Bullets"/>
              <w:ind w:left="357" w:hanging="357"/>
            </w:pPr>
            <w:r w:rsidRPr="00190670">
              <w:lastRenderedPageBreak/>
              <w:t>Creates a clear road map for change to improve community outcomes; anticipates barriers and endures uncertainty without becoming negative </w:t>
            </w:r>
          </w:p>
          <w:p w14:paraId="68930EEA" w14:textId="77777777" w:rsidR="00900058" w:rsidRPr="00190670" w:rsidRDefault="00900058" w:rsidP="009749AC">
            <w:pPr>
              <w:pStyle w:val="Bullets"/>
              <w:ind w:left="357" w:hanging="357"/>
            </w:pPr>
            <w:r w:rsidRPr="00190670">
              <w:t>Applies enterprise mindset to work prioritisation and resource allocation; sets realistic timeframes and manages competing projects or changes. Prioritises and aligns projects to business strategy, managing budget, team capacity and resources </w:t>
            </w:r>
          </w:p>
          <w:p w14:paraId="6CB00A36" w14:textId="77777777" w:rsidR="00900058" w:rsidRPr="00190670" w:rsidRDefault="00900058" w:rsidP="009749AC">
            <w:pPr>
              <w:pStyle w:val="Bullets"/>
              <w:ind w:left="357" w:hanging="357"/>
            </w:pPr>
            <w:r w:rsidRPr="00190670">
              <w:t>Is nimble and innovative in contract management by identify new strategies and tactics for continuous improvement and services excellence</w:t>
            </w:r>
          </w:p>
          <w:p w14:paraId="3884B4BA" w14:textId="77777777" w:rsidR="00900058" w:rsidRPr="00190670" w:rsidRDefault="00900058" w:rsidP="009749AC">
            <w:pPr>
              <w:pStyle w:val="Bullets"/>
              <w:ind w:left="357" w:hanging="357"/>
            </w:pPr>
            <w:r w:rsidRPr="00190670">
              <w:t>Conducts retrospectives to evaluate change for continuous team improvement</w:t>
            </w:r>
          </w:p>
          <w:p w14:paraId="561607D4" w14:textId="77777777" w:rsidR="00900058" w:rsidRPr="00190670" w:rsidRDefault="00900058" w:rsidP="00900058">
            <w:pPr>
              <w:spacing w:before="120"/>
              <w:rPr>
                <w:rFonts w:cstheme="minorHAnsi"/>
                <w:b/>
                <w:bCs/>
              </w:rPr>
            </w:pPr>
            <w:r w:rsidRPr="00190670">
              <w:rPr>
                <w:rFonts w:cstheme="minorHAnsi"/>
                <w:b/>
                <w:bCs/>
              </w:rPr>
              <w:t>Critical thinking</w:t>
            </w:r>
          </w:p>
          <w:p w14:paraId="26373C10" w14:textId="77777777" w:rsidR="00900058" w:rsidRPr="00190670" w:rsidRDefault="00900058" w:rsidP="009749AC">
            <w:pPr>
              <w:pStyle w:val="Bullets"/>
              <w:ind w:left="357" w:hanging="357"/>
            </w:pPr>
            <w:r w:rsidRPr="00900058">
              <w:rPr>
                <w:rFonts w:cstheme="minorHAnsi"/>
              </w:rPr>
              <w:t xml:space="preserve">Contributes to </w:t>
            </w:r>
            <w:r w:rsidRPr="00190670">
              <w:t>setting team strategy and converts strategy into an actionable plan. Translates the Beyond Blue vision and strategy to team objectives, activities, and individual goals </w:t>
            </w:r>
          </w:p>
          <w:p w14:paraId="300808CE" w14:textId="77777777" w:rsidR="00900058" w:rsidRPr="00190670" w:rsidRDefault="00900058" w:rsidP="009749AC">
            <w:pPr>
              <w:pStyle w:val="Bullets"/>
              <w:ind w:left="357" w:hanging="357"/>
            </w:pPr>
            <w:r w:rsidRPr="00190670">
              <w:t>Solves problems with an enterprise approach, working across the business to break down work and identify the resources required for the right capability and capacity </w:t>
            </w:r>
          </w:p>
          <w:p w14:paraId="3F469C41" w14:textId="77777777" w:rsidR="00900058" w:rsidRPr="00190670" w:rsidRDefault="00900058" w:rsidP="009749AC">
            <w:pPr>
              <w:pStyle w:val="Bullets"/>
              <w:ind w:left="357" w:hanging="357"/>
            </w:pPr>
            <w:r w:rsidRPr="00190670">
              <w:t>Identifies inconsistencies, biases and errors in reasoning when leveraging data-driven insights to make decision</w:t>
            </w:r>
          </w:p>
          <w:p w14:paraId="12E54627" w14:textId="77777777" w:rsidR="00900058" w:rsidRPr="00190670" w:rsidRDefault="00900058" w:rsidP="009749AC">
            <w:pPr>
              <w:pStyle w:val="Bullets"/>
              <w:ind w:left="357" w:hanging="357"/>
            </w:pPr>
            <w:r w:rsidRPr="00190670">
              <w:t>Proactively identifies risks and mitigation paths when developing or contributing to strategy, planning or problem solving</w:t>
            </w:r>
          </w:p>
          <w:p w14:paraId="00C10629" w14:textId="77777777" w:rsidR="00900058" w:rsidRPr="00900058" w:rsidRDefault="00900058" w:rsidP="009749AC">
            <w:pPr>
              <w:pStyle w:val="Bullets"/>
              <w:ind w:left="357" w:hanging="357"/>
              <w:rPr>
                <w:rFonts w:cstheme="minorHAnsi"/>
              </w:rPr>
            </w:pPr>
            <w:r w:rsidRPr="00190670">
              <w:t>Applies systemic thinking to understand the root cause of a problem before developing new insights and approaches</w:t>
            </w:r>
            <w:r w:rsidRPr="00900058">
              <w:rPr>
                <w:rFonts w:cstheme="minorHAnsi"/>
              </w:rPr>
              <w:t xml:space="preserve"> with stakeholders</w:t>
            </w:r>
          </w:p>
          <w:p w14:paraId="08160B05" w14:textId="77777777" w:rsidR="00900058" w:rsidRPr="00190670" w:rsidRDefault="00900058" w:rsidP="00900058">
            <w:pPr>
              <w:spacing w:before="120"/>
              <w:rPr>
                <w:rFonts w:cstheme="minorHAnsi"/>
                <w:b/>
                <w:bCs/>
              </w:rPr>
            </w:pPr>
            <w:r w:rsidRPr="00190670">
              <w:rPr>
                <w:rFonts w:cstheme="minorHAnsi"/>
                <w:b/>
                <w:bCs/>
              </w:rPr>
              <w:t>Leading</w:t>
            </w:r>
          </w:p>
          <w:p w14:paraId="50B1742A" w14:textId="77777777" w:rsidR="00900058" w:rsidRPr="00190670" w:rsidRDefault="00900058" w:rsidP="009749AC">
            <w:pPr>
              <w:pStyle w:val="Bullets"/>
              <w:ind w:left="357" w:hanging="357"/>
            </w:pPr>
            <w:r w:rsidRPr="00900058">
              <w:rPr>
                <w:rFonts w:cstheme="minorHAnsi"/>
              </w:rPr>
              <w:t xml:space="preserve">Is </w:t>
            </w:r>
            <w:r w:rsidRPr="00190670">
              <w:t>bold and courageous in setting team direction, providing clear expectations on target and stretch goals. Adopts a growth mindset when working with others</w:t>
            </w:r>
          </w:p>
          <w:p w14:paraId="42C26130" w14:textId="77777777" w:rsidR="00900058" w:rsidRPr="00190670" w:rsidRDefault="00900058" w:rsidP="009749AC">
            <w:pPr>
              <w:pStyle w:val="Bullets"/>
              <w:ind w:left="357" w:hanging="357"/>
            </w:pPr>
            <w:r w:rsidRPr="00190670">
              <w:t>Embraces diversity and demonstrates inclusive leadership; works to recruit, develop, engage and retain talent and creates a culturally safe atmosphere</w:t>
            </w:r>
          </w:p>
          <w:p w14:paraId="36173C37" w14:textId="77777777" w:rsidR="00900058" w:rsidRPr="00190670" w:rsidRDefault="00900058" w:rsidP="009749AC">
            <w:pPr>
              <w:pStyle w:val="Bullets"/>
              <w:ind w:left="357" w:hanging="357"/>
            </w:pPr>
            <w:r w:rsidRPr="00190670">
              <w:t>Takes responsibility for assigning workloads, monitoring resources and workflows, ensuring team goals are delivered within deadlines</w:t>
            </w:r>
          </w:p>
          <w:p w14:paraId="346DD24A" w14:textId="77777777" w:rsidR="00900058" w:rsidRPr="00190670" w:rsidRDefault="00900058" w:rsidP="009749AC">
            <w:pPr>
              <w:pStyle w:val="Bullets"/>
              <w:ind w:left="357" w:hanging="357"/>
            </w:pPr>
            <w:r w:rsidRPr="00190670">
              <w:t>Adapts coaching style to suit the situation, empowers others and is approachable in providing and receiving timely constructive feedback</w:t>
            </w:r>
          </w:p>
          <w:p w14:paraId="74291F38" w14:textId="77777777" w:rsidR="00900058" w:rsidRPr="00190670" w:rsidRDefault="00900058" w:rsidP="009749AC">
            <w:pPr>
              <w:pStyle w:val="Bullets"/>
              <w:ind w:left="357" w:hanging="357"/>
            </w:pPr>
            <w:r w:rsidRPr="00190670">
              <w:t>Holds regular performance conversations and creates two-way feedback channels to drive improvement; recognises and deals with underperformance effectively </w:t>
            </w:r>
          </w:p>
          <w:p w14:paraId="131DDE25" w14:textId="1D4D9D34" w:rsidR="00CE442D" w:rsidRDefault="00CE442D" w:rsidP="005C5067">
            <w:pPr>
              <w:pStyle w:val="Bullets"/>
              <w:numPr>
                <w:ilvl w:val="0"/>
                <w:numId w:val="0"/>
              </w:numPr>
            </w:pPr>
          </w:p>
        </w:tc>
      </w:tr>
      <w:tr w:rsidR="003E45A4" w14:paraId="1D9E6CE2" w14:textId="77777777" w:rsidTr="00CD0AE7">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cBorders>
            <w:shd w:val="clear" w:color="auto" w:fill="FFFFFF" w:themeFill="background1"/>
            <w:vAlign w:val="center"/>
          </w:tcPr>
          <w:p w14:paraId="3D15FCD2" w14:textId="33DCE766" w:rsidR="003E45A4" w:rsidRDefault="00FE09A2" w:rsidP="009749AC">
            <w:pPr>
              <w:pStyle w:val="Tableheading"/>
            </w:pPr>
            <w:r>
              <w:t>Education/qualifications</w:t>
            </w:r>
          </w:p>
          <w:p w14:paraId="35C08C52" w14:textId="77777777" w:rsidR="005C5067" w:rsidRPr="005C5067" w:rsidRDefault="005C5067" w:rsidP="009749AC">
            <w:pPr>
              <w:pStyle w:val="Bullets"/>
              <w:ind w:left="357" w:hanging="357"/>
            </w:pPr>
            <w:r w:rsidRPr="005C5067">
              <w:t>Tertiary qualification business / management degree</w:t>
            </w:r>
          </w:p>
          <w:p w14:paraId="36D3ED6C" w14:textId="6392FF9B" w:rsidR="005C5067" w:rsidRPr="005C5067" w:rsidRDefault="005C5067" w:rsidP="009749AC">
            <w:pPr>
              <w:pStyle w:val="Bullets"/>
              <w:ind w:left="357" w:hanging="357"/>
            </w:pPr>
            <w:r w:rsidRPr="005C5067">
              <w:lastRenderedPageBreak/>
              <w:t>Project management experience and/or formal education or certification in PRINCE2 or PMBOK related methodologies.</w:t>
            </w:r>
          </w:p>
          <w:p w14:paraId="7CA42EC5" w14:textId="77777777" w:rsidR="009F20F8" w:rsidRDefault="007F790A" w:rsidP="009749AC">
            <w:pPr>
              <w:pStyle w:val="Tableheading"/>
            </w:pPr>
            <w:r>
              <w:t>Knowledge/skills/experience</w:t>
            </w:r>
          </w:p>
          <w:p w14:paraId="6B061698" w14:textId="77777777" w:rsidR="007F790A" w:rsidRDefault="006D1419" w:rsidP="009749AC">
            <w:pPr>
              <w:pStyle w:val="Tablesubheading"/>
            </w:pPr>
            <w:r>
              <w:t>Essential</w:t>
            </w:r>
          </w:p>
          <w:p w14:paraId="7C3B88D3" w14:textId="77777777" w:rsidR="005C5067" w:rsidRDefault="005C5067" w:rsidP="009749AC">
            <w:pPr>
              <w:pStyle w:val="Bullets"/>
              <w:numPr>
                <w:ilvl w:val="0"/>
                <w:numId w:val="40"/>
              </w:numPr>
              <w:spacing w:after="0"/>
              <w:ind w:left="357" w:hanging="357"/>
              <w:contextualSpacing w:val="0"/>
              <w:rPr>
                <w:rFonts w:cstheme="minorHAnsi"/>
                <w:color w:val="000000"/>
              </w:rPr>
            </w:pPr>
            <w:r>
              <w:rPr>
                <w:rFonts w:cstheme="minorHAnsi"/>
              </w:rPr>
              <w:t xml:space="preserve">Work experience - Minimum 10 years demonstrating a proven track record of successful achievement in leading &amp; managing large, complex high value projects on time &amp; budget </w:t>
            </w:r>
          </w:p>
          <w:p w14:paraId="12FCF22D" w14:textId="189F18EE" w:rsidR="005C5067" w:rsidRDefault="005C5067" w:rsidP="009749AC">
            <w:pPr>
              <w:numPr>
                <w:ilvl w:val="0"/>
                <w:numId w:val="40"/>
              </w:numPr>
              <w:spacing w:after="0"/>
              <w:ind w:left="357" w:hanging="357"/>
              <w:rPr>
                <w:rFonts w:cstheme="minorHAnsi"/>
              </w:rPr>
            </w:pPr>
            <w:r>
              <w:rPr>
                <w:rFonts w:cstheme="minorHAnsi"/>
              </w:rPr>
              <w:t xml:space="preserve">Project </w:t>
            </w:r>
            <w:r w:rsidR="005E633F">
              <w:rPr>
                <w:rFonts w:cstheme="minorHAnsi"/>
              </w:rPr>
              <w:t>m</w:t>
            </w:r>
            <w:r>
              <w:rPr>
                <w:rFonts w:cstheme="minorHAnsi"/>
              </w:rPr>
              <w:t xml:space="preserve">anagement </w:t>
            </w:r>
            <w:r w:rsidR="005E633F">
              <w:rPr>
                <w:rFonts w:cstheme="minorHAnsi"/>
              </w:rPr>
              <w:t>d</w:t>
            </w:r>
            <w:r>
              <w:rPr>
                <w:rFonts w:cstheme="minorHAnsi"/>
              </w:rPr>
              <w:t>evelopment – Knowledge and skills in planning, resource identification and coordination, task and activity monitoring, risk and issues management, budget management, reporting and overall delivery against defined objectives, methods and outcomes</w:t>
            </w:r>
          </w:p>
          <w:p w14:paraId="56A0778F" w14:textId="62693F08" w:rsidR="00F91B64" w:rsidRDefault="00F91B64" w:rsidP="009749AC">
            <w:pPr>
              <w:numPr>
                <w:ilvl w:val="0"/>
                <w:numId w:val="40"/>
              </w:numPr>
              <w:spacing w:after="0"/>
              <w:ind w:left="357" w:hanging="357"/>
              <w:rPr>
                <w:rFonts w:cstheme="minorHAnsi"/>
              </w:rPr>
            </w:pPr>
            <w:r>
              <w:rPr>
                <w:rFonts w:cstheme="minorHAnsi"/>
              </w:rPr>
              <w:t>Product management – Knowledge and skills in managing all aspects of the product lifecycle</w:t>
            </w:r>
          </w:p>
          <w:p w14:paraId="0CE37501" w14:textId="2A8C15F0" w:rsidR="005C5067" w:rsidRDefault="005C5067" w:rsidP="009749AC">
            <w:pPr>
              <w:numPr>
                <w:ilvl w:val="0"/>
                <w:numId w:val="40"/>
              </w:numPr>
              <w:ind w:left="357" w:hanging="357"/>
              <w:contextualSpacing/>
              <w:rPr>
                <w:rFonts w:cstheme="minorHAnsi"/>
              </w:rPr>
            </w:pPr>
            <w:r>
              <w:rPr>
                <w:rFonts w:cstheme="minorHAnsi"/>
              </w:rPr>
              <w:t xml:space="preserve">People </w:t>
            </w:r>
            <w:r w:rsidR="005E633F">
              <w:rPr>
                <w:rFonts w:cstheme="minorHAnsi"/>
              </w:rPr>
              <w:t>m</w:t>
            </w:r>
            <w:r>
              <w:rPr>
                <w:rFonts w:cstheme="minorHAnsi"/>
              </w:rPr>
              <w:t xml:space="preserve">anagement – Highly motivated with exceptional leadership skills and a proven ability to effectively manage and build teams, including motivation, managing performance and developing a positive culture </w:t>
            </w:r>
          </w:p>
          <w:p w14:paraId="0D0C53E0" w14:textId="5B3269DC" w:rsidR="005C5067" w:rsidRDefault="005C5067" w:rsidP="009749AC">
            <w:pPr>
              <w:numPr>
                <w:ilvl w:val="0"/>
                <w:numId w:val="40"/>
              </w:numPr>
              <w:ind w:left="357" w:hanging="357"/>
              <w:contextualSpacing/>
              <w:rPr>
                <w:rFonts w:cstheme="minorHAnsi"/>
              </w:rPr>
            </w:pPr>
            <w:r>
              <w:rPr>
                <w:rFonts w:cstheme="minorHAnsi"/>
              </w:rPr>
              <w:t xml:space="preserve">Document </w:t>
            </w:r>
            <w:r w:rsidR="005E633F">
              <w:rPr>
                <w:rFonts w:cstheme="minorHAnsi"/>
              </w:rPr>
              <w:t>p</w:t>
            </w:r>
            <w:r>
              <w:rPr>
                <w:rFonts w:cstheme="minorHAnsi"/>
              </w:rPr>
              <w:t>reparation – Demonstrated ability to prepare complex written documents of a high standard including briefing notes, correspondence and reports with an elevated level of attention to detail, and the ability to conceptually analyse and synthesise information</w:t>
            </w:r>
          </w:p>
          <w:p w14:paraId="2CFA67CE" w14:textId="3813F650" w:rsidR="005C5067" w:rsidRDefault="005C5067" w:rsidP="009749AC">
            <w:pPr>
              <w:numPr>
                <w:ilvl w:val="0"/>
                <w:numId w:val="40"/>
              </w:numPr>
              <w:ind w:left="357" w:hanging="357"/>
              <w:contextualSpacing/>
              <w:rPr>
                <w:rFonts w:cstheme="minorHAnsi"/>
              </w:rPr>
            </w:pPr>
            <w:r>
              <w:rPr>
                <w:rFonts w:cstheme="minorHAnsi"/>
              </w:rPr>
              <w:t xml:space="preserve">Stakeholder </w:t>
            </w:r>
            <w:r w:rsidR="005E633F">
              <w:rPr>
                <w:rFonts w:cstheme="minorHAnsi"/>
              </w:rPr>
              <w:t>m</w:t>
            </w:r>
            <w:r>
              <w:rPr>
                <w:rFonts w:cstheme="minorHAnsi"/>
              </w:rPr>
              <w:t>anagement — Exceptional communication and stakeholder management skills including ability to proactively resolve conflict or issues. Internal and external stakeholder need assessments, and stakeholder engagement planning skills</w:t>
            </w:r>
          </w:p>
          <w:p w14:paraId="1D6D22DA" w14:textId="70DD2949" w:rsidR="005C5067" w:rsidRDefault="005C5067" w:rsidP="009749AC">
            <w:pPr>
              <w:numPr>
                <w:ilvl w:val="0"/>
                <w:numId w:val="40"/>
              </w:numPr>
              <w:ind w:left="357" w:hanging="357"/>
              <w:contextualSpacing/>
              <w:rPr>
                <w:rFonts w:cstheme="minorHAnsi"/>
              </w:rPr>
            </w:pPr>
            <w:r>
              <w:rPr>
                <w:rFonts w:cstheme="minorHAnsi"/>
              </w:rPr>
              <w:t xml:space="preserve">Contract </w:t>
            </w:r>
            <w:r w:rsidR="005E633F">
              <w:rPr>
                <w:rFonts w:cstheme="minorHAnsi"/>
              </w:rPr>
              <w:t>m</w:t>
            </w:r>
            <w:r>
              <w:rPr>
                <w:rFonts w:cstheme="minorHAnsi"/>
              </w:rPr>
              <w:t>anagement – Demonstrated experience in managing the coordination of contracts, projects and/or partnerships with external parties</w:t>
            </w:r>
          </w:p>
          <w:p w14:paraId="63A9C9F3" w14:textId="6F85C7A2" w:rsidR="005C5067" w:rsidRDefault="005C5067" w:rsidP="009749AC">
            <w:pPr>
              <w:numPr>
                <w:ilvl w:val="0"/>
                <w:numId w:val="40"/>
              </w:numPr>
              <w:ind w:left="357" w:hanging="357"/>
              <w:contextualSpacing/>
              <w:rPr>
                <w:rFonts w:cstheme="minorHAnsi"/>
              </w:rPr>
            </w:pPr>
            <w:r>
              <w:rPr>
                <w:rFonts w:cstheme="minorHAnsi"/>
              </w:rPr>
              <w:t xml:space="preserve">Risk </w:t>
            </w:r>
            <w:r w:rsidR="005E633F">
              <w:rPr>
                <w:rFonts w:cstheme="minorHAnsi"/>
              </w:rPr>
              <w:t>m</w:t>
            </w:r>
            <w:r>
              <w:rPr>
                <w:rFonts w:cstheme="minorHAnsi"/>
              </w:rPr>
              <w:t>anagement – Ability to identify and manage risks, ability to determine an appropriate course of action with limited guidance when required</w:t>
            </w:r>
          </w:p>
          <w:p w14:paraId="37224555" w14:textId="3E7D3011" w:rsidR="005C5067" w:rsidRPr="005C5067" w:rsidRDefault="005C5067" w:rsidP="009749AC">
            <w:pPr>
              <w:numPr>
                <w:ilvl w:val="0"/>
                <w:numId w:val="40"/>
              </w:numPr>
              <w:ind w:left="357" w:hanging="357"/>
              <w:contextualSpacing/>
              <w:rPr>
                <w:rFonts w:cstheme="minorHAnsi"/>
              </w:rPr>
            </w:pPr>
            <w:r w:rsidRPr="005C5067">
              <w:rPr>
                <w:rFonts w:cstheme="minorHAnsi"/>
              </w:rPr>
              <w:t>Communication – Proven ability to be able to effectively interact across all levels of an organisation</w:t>
            </w:r>
          </w:p>
          <w:p w14:paraId="12AF9A50" w14:textId="584701F0" w:rsidR="005A0A97" w:rsidRDefault="005A0A97" w:rsidP="009749AC">
            <w:pPr>
              <w:pStyle w:val="Tablesubheading"/>
            </w:pPr>
            <w:r>
              <w:t>Desirable</w:t>
            </w:r>
          </w:p>
          <w:p w14:paraId="7358DAFA" w14:textId="77777777" w:rsidR="00F91B64" w:rsidRDefault="00F91B64" w:rsidP="009749AC">
            <w:pPr>
              <w:pStyle w:val="Bullets"/>
            </w:pPr>
            <w:r>
              <w:t>Experience leading high-value health projects and services</w:t>
            </w:r>
          </w:p>
          <w:p w14:paraId="7BC3B25C" w14:textId="5A5D56A2" w:rsidR="005E633F" w:rsidRDefault="005E633F" w:rsidP="009749AC">
            <w:pPr>
              <w:pStyle w:val="Bullets"/>
            </w:pPr>
            <w:r>
              <w:t xml:space="preserve">Experience </w:t>
            </w:r>
            <w:r w:rsidR="00BD1BA9">
              <w:t xml:space="preserve">working </w:t>
            </w:r>
            <w:r>
              <w:t>in the health sector including primary mental health service</w:t>
            </w:r>
            <w:r w:rsidR="00D9063F">
              <w:t>s</w:t>
            </w:r>
            <w:r>
              <w:t xml:space="preserve"> or </w:t>
            </w:r>
            <w:r w:rsidR="001A270C">
              <w:t xml:space="preserve">health </w:t>
            </w:r>
            <w:r>
              <w:t xml:space="preserve">product </w:t>
            </w:r>
            <w:r w:rsidR="001A270C">
              <w:t>or project delivery</w:t>
            </w:r>
          </w:p>
        </w:tc>
      </w:tr>
      <w:tr w:rsidR="00256781" w14:paraId="7B8F0153" w14:textId="77777777" w:rsidTr="009C6427">
        <w:trPr>
          <w:trHeight w:val="569"/>
        </w:trPr>
        <w:tc>
          <w:tcPr>
            <w:tcW w:w="9628" w:type="dxa"/>
            <w:gridSpan w:val="6"/>
            <w:shd w:val="clear" w:color="auto" w:fill="FFFFFF" w:themeFill="background1"/>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00332AB7">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bottom w:val="single" w:sz="4" w:space="0" w:color="0070F1" w:themeColor="accent1"/>
            </w:tcBorders>
            <w:shd w:val="clear" w:color="auto" w:fill="FFFFFF" w:themeFill="background1"/>
            <w:vAlign w:val="center"/>
          </w:tcPr>
          <w:p w14:paraId="231A59F1" w14:textId="3943C75A" w:rsidR="00D203C2" w:rsidRPr="001B5B0B" w:rsidRDefault="00D203C2" w:rsidP="00256781">
            <w:pPr>
              <w:pStyle w:val="Tableheading"/>
            </w:pPr>
            <w:r>
              <w:lastRenderedPageBreak/>
              <w:t>Health, safety and wellbeing</w:t>
            </w:r>
          </w:p>
          <w:p w14:paraId="44F93802" w14:textId="1504BAEF" w:rsidR="00D203C2" w:rsidRDefault="00D203C2" w:rsidP="00CD0AE7">
            <w:pPr>
              <w:spacing w:before="120"/>
            </w:pPr>
            <w:r w:rsidRPr="7BF53023">
              <w:lastRenderedPageBreak/>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9749AC">
            <w:pPr>
              <w:pStyle w:val="Bullets"/>
              <w:ind w:left="357" w:hanging="357"/>
            </w:pPr>
            <w:r>
              <w:t>a</w:t>
            </w:r>
            <w:r w:rsidR="00D203C2" w:rsidRPr="003C268D">
              <w:t xml:space="preserve"> current Police Record Check</w:t>
            </w:r>
          </w:p>
          <w:p w14:paraId="3EE56C5B" w14:textId="58758223" w:rsidR="00CD0AE7" w:rsidRPr="00D203C2" w:rsidRDefault="00B176DC" w:rsidP="009749AC">
            <w:pPr>
              <w:pStyle w:val="Bullets"/>
              <w:ind w:left="357" w:hanging="357"/>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5B1C" w14:textId="77777777" w:rsidR="004B6736" w:rsidRDefault="004B6736" w:rsidP="003916DB">
      <w:pPr>
        <w:spacing w:after="0"/>
      </w:pPr>
      <w:r>
        <w:separator/>
      </w:r>
    </w:p>
  </w:endnote>
  <w:endnote w:type="continuationSeparator" w:id="0">
    <w:p w14:paraId="3030D5A1" w14:textId="77777777" w:rsidR="004B6736" w:rsidRDefault="004B6736" w:rsidP="003916DB">
      <w:pPr>
        <w:spacing w:after="0"/>
      </w:pPr>
      <w:r>
        <w:continuationSeparator/>
      </w:r>
    </w:p>
  </w:endnote>
  <w:endnote w:type="continuationNotice" w:id="1">
    <w:p w14:paraId="430019E7" w14:textId="77777777" w:rsidR="004B6736" w:rsidRDefault="004B67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B916" w14:textId="77777777" w:rsidR="002C3344" w:rsidRDefault="002C3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D15BA5">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D15BA5">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D49D" w14:textId="77777777" w:rsidR="004B6736" w:rsidRDefault="004B6736" w:rsidP="003916DB">
      <w:pPr>
        <w:spacing w:after="0"/>
      </w:pPr>
      <w:r>
        <w:separator/>
      </w:r>
    </w:p>
  </w:footnote>
  <w:footnote w:type="continuationSeparator" w:id="0">
    <w:p w14:paraId="18704E62" w14:textId="77777777" w:rsidR="004B6736" w:rsidRDefault="004B6736" w:rsidP="003916DB">
      <w:pPr>
        <w:spacing w:after="0"/>
      </w:pPr>
      <w:r>
        <w:continuationSeparator/>
      </w:r>
    </w:p>
  </w:footnote>
  <w:footnote w:type="continuationNotice" w:id="1">
    <w:p w14:paraId="5504318F" w14:textId="77777777" w:rsidR="004B6736" w:rsidRDefault="004B67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A5FF" w14:textId="77777777" w:rsidR="002C3344" w:rsidRDefault="002C3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C8E6" w14:textId="77777777" w:rsidR="002C3344" w:rsidRDefault="002C3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B4F1B"/>
    <w:multiLevelType w:val="hybridMultilevel"/>
    <w:tmpl w:val="28ACD74C"/>
    <w:lvl w:ilvl="0" w:tplc="09463002">
      <w:numFmt w:val="bullet"/>
      <w:lvlText w:val="•"/>
      <w:lvlJc w:val="left"/>
      <w:pPr>
        <w:ind w:left="5576" w:hanging="347"/>
      </w:pPr>
      <w:rPr>
        <w:rFonts w:ascii="Arial" w:eastAsia="Arial" w:hAnsi="Arial" w:cs="Arial" w:hint="default"/>
        <w:b w:val="0"/>
        <w:bCs w:val="0"/>
        <w:i w:val="0"/>
        <w:iCs w:val="0"/>
        <w:color w:val="030303"/>
        <w:w w:val="102"/>
        <w:sz w:val="18"/>
        <w:szCs w:val="18"/>
      </w:rPr>
    </w:lvl>
    <w:lvl w:ilvl="1" w:tplc="14BA7142">
      <w:numFmt w:val="bullet"/>
      <w:lvlText w:val="•"/>
      <w:lvlJc w:val="left"/>
      <w:pPr>
        <w:ind w:left="6166" w:hanging="347"/>
      </w:pPr>
      <w:rPr>
        <w:rFonts w:hint="default"/>
      </w:rPr>
    </w:lvl>
    <w:lvl w:ilvl="2" w:tplc="8FAE877C">
      <w:numFmt w:val="bullet"/>
      <w:lvlText w:val="•"/>
      <w:lvlJc w:val="left"/>
      <w:pPr>
        <w:ind w:left="6752" w:hanging="347"/>
      </w:pPr>
      <w:rPr>
        <w:rFonts w:hint="default"/>
      </w:rPr>
    </w:lvl>
    <w:lvl w:ilvl="3" w:tplc="0B82BAB8">
      <w:numFmt w:val="bullet"/>
      <w:lvlText w:val="•"/>
      <w:lvlJc w:val="left"/>
      <w:pPr>
        <w:ind w:left="7338" w:hanging="347"/>
      </w:pPr>
      <w:rPr>
        <w:rFonts w:hint="default"/>
      </w:rPr>
    </w:lvl>
    <w:lvl w:ilvl="4" w:tplc="DDD24B64">
      <w:numFmt w:val="bullet"/>
      <w:lvlText w:val="•"/>
      <w:lvlJc w:val="left"/>
      <w:pPr>
        <w:ind w:left="7924" w:hanging="347"/>
      </w:pPr>
      <w:rPr>
        <w:rFonts w:hint="default"/>
      </w:rPr>
    </w:lvl>
    <w:lvl w:ilvl="5" w:tplc="95D8E6D6">
      <w:numFmt w:val="bullet"/>
      <w:lvlText w:val="•"/>
      <w:lvlJc w:val="left"/>
      <w:pPr>
        <w:ind w:left="8510" w:hanging="347"/>
      </w:pPr>
      <w:rPr>
        <w:rFonts w:hint="default"/>
      </w:rPr>
    </w:lvl>
    <w:lvl w:ilvl="6" w:tplc="66DC9058">
      <w:numFmt w:val="bullet"/>
      <w:lvlText w:val="•"/>
      <w:lvlJc w:val="left"/>
      <w:pPr>
        <w:ind w:left="9096" w:hanging="347"/>
      </w:pPr>
      <w:rPr>
        <w:rFonts w:hint="default"/>
      </w:rPr>
    </w:lvl>
    <w:lvl w:ilvl="7" w:tplc="F2C4D226">
      <w:numFmt w:val="bullet"/>
      <w:lvlText w:val="•"/>
      <w:lvlJc w:val="left"/>
      <w:pPr>
        <w:ind w:left="9682" w:hanging="347"/>
      </w:pPr>
      <w:rPr>
        <w:rFonts w:hint="default"/>
      </w:rPr>
    </w:lvl>
    <w:lvl w:ilvl="8" w:tplc="ADEA9C52">
      <w:numFmt w:val="bullet"/>
      <w:lvlText w:val="•"/>
      <w:lvlJc w:val="left"/>
      <w:pPr>
        <w:ind w:left="10268" w:hanging="347"/>
      </w:pPr>
      <w:rPr>
        <w:rFonts w:hint="default"/>
      </w:rPr>
    </w:lvl>
  </w:abstractNum>
  <w:abstractNum w:abstractNumId="5"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20CD001A"/>
    <w:multiLevelType w:val="hybridMultilevel"/>
    <w:tmpl w:val="37C6FDAC"/>
    <w:lvl w:ilvl="0" w:tplc="5E5C84EE">
      <w:numFmt w:val="bullet"/>
      <w:lvlText w:val="•"/>
      <w:lvlJc w:val="left"/>
      <w:pPr>
        <w:ind w:left="786" w:hanging="343"/>
      </w:pPr>
      <w:rPr>
        <w:rFonts w:ascii="Arial" w:eastAsia="Arial" w:hAnsi="Arial" w:cs="Arial" w:hint="default"/>
        <w:b w:val="0"/>
        <w:bCs w:val="0"/>
        <w:i w:val="0"/>
        <w:iCs w:val="0"/>
        <w:color w:val="030303"/>
        <w:w w:val="98"/>
        <w:sz w:val="18"/>
        <w:szCs w:val="18"/>
      </w:rPr>
    </w:lvl>
    <w:lvl w:ilvl="1" w:tplc="42504358">
      <w:numFmt w:val="bullet"/>
      <w:lvlText w:val="•"/>
      <w:lvlJc w:val="left"/>
      <w:pPr>
        <w:ind w:left="1403" w:hanging="343"/>
      </w:pPr>
      <w:rPr>
        <w:rFonts w:hint="default"/>
      </w:rPr>
    </w:lvl>
    <w:lvl w:ilvl="2" w:tplc="067641DA">
      <w:numFmt w:val="bullet"/>
      <w:lvlText w:val="•"/>
      <w:lvlJc w:val="left"/>
      <w:pPr>
        <w:ind w:left="2026" w:hanging="343"/>
      </w:pPr>
      <w:rPr>
        <w:rFonts w:hint="default"/>
      </w:rPr>
    </w:lvl>
    <w:lvl w:ilvl="3" w:tplc="C5E2E2EC">
      <w:numFmt w:val="bullet"/>
      <w:lvlText w:val="•"/>
      <w:lvlJc w:val="left"/>
      <w:pPr>
        <w:ind w:left="2649" w:hanging="343"/>
      </w:pPr>
      <w:rPr>
        <w:rFonts w:hint="default"/>
      </w:rPr>
    </w:lvl>
    <w:lvl w:ilvl="4" w:tplc="059EC004">
      <w:numFmt w:val="bullet"/>
      <w:lvlText w:val="•"/>
      <w:lvlJc w:val="left"/>
      <w:pPr>
        <w:ind w:left="3272" w:hanging="343"/>
      </w:pPr>
      <w:rPr>
        <w:rFonts w:hint="default"/>
      </w:rPr>
    </w:lvl>
    <w:lvl w:ilvl="5" w:tplc="E1B0AB1C">
      <w:numFmt w:val="bullet"/>
      <w:lvlText w:val="•"/>
      <w:lvlJc w:val="left"/>
      <w:pPr>
        <w:ind w:left="3895" w:hanging="343"/>
      </w:pPr>
      <w:rPr>
        <w:rFonts w:hint="default"/>
      </w:rPr>
    </w:lvl>
    <w:lvl w:ilvl="6" w:tplc="F71815FE">
      <w:numFmt w:val="bullet"/>
      <w:lvlText w:val="•"/>
      <w:lvlJc w:val="left"/>
      <w:pPr>
        <w:ind w:left="4518" w:hanging="343"/>
      </w:pPr>
      <w:rPr>
        <w:rFonts w:hint="default"/>
      </w:rPr>
    </w:lvl>
    <w:lvl w:ilvl="7" w:tplc="FD822E94">
      <w:numFmt w:val="bullet"/>
      <w:lvlText w:val="•"/>
      <w:lvlJc w:val="left"/>
      <w:pPr>
        <w:ind w:left="5141" w:hanging="343"/>
      </w:pPr>
      <w:rPr>
        <w:rFonts w:hint="default"/>
      </w:rPr>
    </w:lvl>
    <w:lvl w:ilvl="8" w:tplc="69204AA8">
      <w:numFmt w:val="bullet"/>
      <w:lvlText w:val="•"/>
      <w:lvlJc w:val="left"/>
      <w:pPr>
        <w:ind w:left="5764" w:hanging="343"/>
      </w:pPr>
      <w:rPr>
        <w:rFonts w:hint="default"/>
      </w:rPr>
    </w:lvl>
  </w:abstractNum>
  <w:abstractNum w:abstractNumId="7" w15:restartNumberingAfterBreak="0">
    <w:nsid w:val="3155587C"/>
    <w:multiLevelType w:val="hybridMultilevel"/>
    <w:tmpl w:val="CF80F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9" w15:restartNumberingAfterBreak="0">
    <w:nsid w:val="3813603F"/>
    <w:multiLevelType w:val="hybridMultilevel"/>
    <w:tmpl w:val="1FC6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45557"/>
    <w:multiLevelType w:val="hybridMultilevel"/>
    <w:tmpl w:val="B27A8CE8"/>
    <w:lvl w:ilvl="0" w:tplc="7E96C1D6">
      <w:start w:val="1"/>
      <w:numFmt w:val="bullet"/>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66DF53C4"/>
    <w:multiLevelType w:val="hybridMultilevel"/>
    <w:tmpl w:val="0AF0FC16"/>
    <w:lvl w:ilvl="0" w:tplc="7E96C1D6">
      <w:start w:val="1"/>
      <w:numFmt w:val="bullet"/>
      <w:lvlText w:val=""/>
      <w:lvlJc w:val="left"/>
      <w:pPr>
        <w:ind w:left="720" w:hanging="360"/>
      </w:pPr>
      <w:rPr>
        <w:rFonts w:ascii="Symbol" w:hAnsi="Symbol" w:hint="default"/>
        <w:color w:val="0070F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6F75003"/>
    <w:multiLevelType w:val="hybridMultilevel"/>
    <w:tmpl w:val="890E74C4"/>
    <w:lvl w:ilvl="0" w:tplc="7E96C1D6">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778C7C97"/>
    <w:multiLevelType w:val="hybridMultilevel"/>
    <w:tmpl w:val="2722C67C"/>
    <w:lvl w:ilvl="0" w:tplc="0BC4DC72">
      <w:numFmt w:val="bullet"/>
      <w:lvlText w:val="•"/>
      <w:lvlJc w:val="left"/>
      <w:pPr>
        <w:ind w:left="792" w:hanging="342"/>
      </w:pPr>
      <w:rPr>
        <w:rFonts w:ascii="Arial" w:eastAsia="Arial" w:hAnsi="Arial" w:cs="Arial" w:hint="default"/>
        <w:b w:val="0"/>
        <w:bCs w:val="0"/>
        <w:i w:val="0"/>
        <w:iCs w:val="0"/>
        <w:color w:val="030303"/>
        <w:w w:val="108"/>
        <w:sz w:val="18"/>
        <w:szCs w:val="18"/>
      </w:rPr>
    </w:lvl>
    <w:lvl w:ilvl="1" w:tplc="BB0AF64E">
      <w:numFmt w:val="bullet"/>
      <w:lvlText w:val="•"/>
      <w:lvlJc w:val="left"/>
      <w:pPr>
        <w:ind w:left="1421" w:hanging="342"/>
      </w:pPr>
      <w:rPr>
        <w:rFonts w:hint="default"/>
      </w:rPr>
    </w:lvl>
    <w:lvl w:ilvl="2" w:tplc="B92C45CE">
      <w:numFmt w:val="bullet"/>
      <w:lvlText w:val="•"/>
      <w:lvlJc w:val="left"/>
      <w:pPr>
        <w:ind w:left="2043" w:hanging="342"/>
      </w:pPr>
      <w:rPr>
        <w:rFonts w:hint="default"/>
      </w:rPr>
    </w:lvl>
    <w:lvl w:ilvl="3" w:tplc="6C2C32F6">
      <w:numFmt w:val="bullet"/>
      <w:lvlText w:val="•"/>
      <w:lvlJc w:val="left"/>
      <w:pPr>
        <w:ind w:left="2664" w:hanging="342"/>
      </w:pPr>
      <w:rPr>
        <w:rFonts w:hint="default"/>
      </w:rPr>
    </w:lvl>
    <w:lvl w:ilvl="4" w:tplc="936AF45C">
      <w:numFmt w:val="bullet"/>
      <w:lvlText w:val="•"/>
      <w:lvlJc w:val="left"/>
      <w:pPr>
        <w:ind w:left="3286" w:hanging="342"/>
      </w:pPr>
      <w:rPr>
        <w:rFonts w:hint="default"/>
      </w:rPr>
    </w:lvl>
    <w:lvl w:ilvl="5" w:tplc="FE940CDE">
      <w:numFmt w:val="bullet"/>
      <w:lvlText w:val="•"/>
      <w:lvlJc w:val="left"/>
      <w:pPr>
        <w:ind w:left="3907" w:hanging="342"/>
      </w:pPr>
      <w:rPr>
        <w:rFonts w:hint="default"/>
      </w:rPr>
    </w:lvl>
    <w:lvl w:ilvl="6" w:tplc="FFDC3A8E">
      <w:numFmt w:val="bullet"/>
      <w:lvlText w:val="•"/>
      <w:lvlJc w:val="left"/>
      <w:pPr>
        <w:ind w:left="4529" w:hanging="342"/>
      </w:pPr>
      <w:rPr>
        <w:rFonts w:hint="default"/>
      </w:rPr>
    </w:lvl>
    <w:lvl w:ilvl="7" w:tplc="E05846E4">
      <w:numFmt w:val="bullet"/>
      <w:lvlText w:val="•"/>
      <w:lvlJc w:val="left"/>
      <w:pPr>
        <w:ind w:left="5150" w:hanging="342"/>
      </w:pPr>
      <w:rPr>
        <w:rFonts w:hint="default"/>
      </w:rPr>
    </w:lvl>
    <w:lvl w:ilvl="8" w:tplc="1EA89678">
      <w:numFmt w:val="bullet"/>
      <w:lvlText w:val="•"/>
      <w:lvlJc w:val="left"/>
      <w:pPr>
        <w:ind w:left="5772" w:hanging="342"/>
      </w:pPr>
      <w:rPr>
        <w:rFonts w:hint="default"/>
      </w:rPr>
    </w:lvl>
  </w:abstractNum>
  <w:abstractNum w:abstractNumId="23"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24"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17"/>
  </w:num>
  <w:num w:numId="4">
    <w:abstractNumId w:val="11"/>
  </w:num>
  <w:num w:numId="5">
    <w:abstractNumId w:val="0"/>
  </w:num>
  <w:num w:numId="6">
    <w:abstractNumId w:val="3"/>
  </w:num>
  <w:num w:numId="7">
    <w:abstractNumId w:val="10"/>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14"/>
  </w:num>
  <w:num w:numId="13">
    <w:abstractNumId w:val="2"/>
  </w:num>
  <w:num w:numId="14">
    <w:abstractNumId w:val="16"/>
  </w:num>
  <w:num w:numId="15">
    <w:abstractNumId w:val="12"/>
  </w:num>
  <w:num w:numId="16">
    <w:abstractNumId w:val="13"/>
  </w:num>
  <w:num w:numId="17">
    <w:abstractNumId w:val="5"/>
  </w:num>
  <w:num w:numId="18">
    <w:abstractNumId w:val="18"/>
  </w:num>
  <w:num w:numId="19">
    <w:abstractNumId w:val="8"/>
  </w:num>
  <w:num w:numId="20">
    <w:abstractNumId w:val="1"/>
  </w:num>
  <w:num w:numId="21">
    <w:abstractNumId w:val="23"/>
  </w:num>
  <w:num w:numId="22">
    <w:abstractNumId w:val="21"/>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4"/>
  </w:num>
  <w:num w:numId="32">
    <w:abstractNumId w:val="6"/>
  </w:num>
  <w:num w:numId="33">
    <w:abstractNumId w:val="22"/>
  </w:num>
  <w:num w:numId="34">
    <w:abstractNumId w:val="7"/>
  </w:num>
  <w:num w:numId="35">
    <w:abstractNumId w:val="7"/>
  </w:num>
  <w:num w:numId="36">
    <w:abstractNumId w:val="9"/>
  </w:num>
  <w:num w:numId="37">
    <w:abstractNumId w:val="10"/>
    <w:lvlOverride w:ilvl="0">
      <w:startOverride w:val="1"/>
    </w:lvlOverride>
  </w:num>
  <w:num w:numId="38">
    <w:abstractNumId w:val="19"/>
  </w:num>
  <w:num w:numId="39">
    <w:abstractNumId w:val="2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01E73"/>
    <w:rsid w:val="000223CF"/>
    <w:rsid w:val="00044733"/>
    <w:rsid w:val="000D0899"/>
    <w:rsid w:val="000D5279"/>
    <w:rsid w:val="0010491B"/>
    <w:rsid w:val="0011554E"/>
    <w:rsid w:val="001160EF"/>
    <w:rsid w:val="00120E32"/>
    <w:rsid w:val="00121EE3"/>
    <w:rsid w:val="00130775"/>
    <w:rsid w:val="001443F7"/>
    <w:rsid w:val="0015640F"/>
    <w:rsid w:val="00190670"/>
    <w:rsid w:val="00193953"/>
    <w:rsid w:val="001A270C"/>
    <w:rsid w:val="001A7AE8"/>
    <w:rsid w:val="001B7159"/>
    <w:rsid w:val="001C149D"/>
    <w:rsid w:val="001C3346"/>
    <w:rsid w:val="001C3D56"/>
    <w:rsid w:val="001C7EA5"/>
    <w:rsid w:val="001D033D"/>
    <w:rsid w:val="001D313D"/>
    <w:rsid w:val="001E67B6"/>
    <w:rsid w:val="001F4E8D"/>
    <w:rsid w:val="00232F6B"/>
    <w:rsid w:val="00252693"/>
    <w:rsid w:val="00256781"/>
    <w:rsid w:val="002617CD"/>
    <w:rsid w:val="0027006E"/>
    <w:rsid w:val="002858B1"/>
    <w:rsid w:val="002B2562"/>
    <w:rsid w:val="002C3344"/>
    <w:rsid w:val="002C4D09"/>
    <w:rsid w:val="002F5AD8"/>
    <w:rsid w:val="002F69C1"/>
    <w:rsid w:val="002F7A18"/>
    <w:rsid w:val="003116EB"/>
    <w:rsid w:val="00332AB7"/>
    <w:rsid w:val="003437AB"/>
    <w:rsid w:val="00356625"/>
    <w:rsid w:val="003612E4"/>
    <w:rsid w:val="003730C2"/>
    <w:rsid w:val="0037388E"/>
    <w:rsid w:val="003746D0"/>
    <w:rsid w:val="00380BCA"/>
    <w:rsid w:val="003916DB"/>
    <w:rsid w:val="0039612C"/>
    <w:rsid w:val="003B1705"/>
    <w:rsid w:val="003D2802"/>
    <w:rsid w:val="003E45A4"/>
    <w:rsid w:val="003E612B"/>
    <w:rsid w:val="003F147A"/>
    <w:rsid w:val="00404DB2"/>
    <w:rsid w:val="00414614"/>
    <w:rsid w:val="004156DF"/>
    <w:rsid w:val="00455F06"/>
    <w:rsid w:val="004634CF"/>
    <w:rsid w:val="00463582"/>
    <w:rsid w:val="00470D2A"/>
    <w:rsid w:val="00480E54"/>
    <w:rsid w:val="00482104"/>
    <w:rsid w:val="004A2BB2"/>
    <w:rsid w:val="004A3DE2"/>
    <w:rsid w:val="004B07D5"/>
    <w:rsid w:val="004B11BD"/>
    <w:rsid w:val="004B4768"/>
    <w:rsid w:val="004B6736"/>
    <w:rsid w:val="004C3889"/>
    <w:rsid w:val="004E4128"/>
    <w:rsid w:val="00511EC2"/>
    <w:rsid w:val="005414D2"/>
    <w:rsid w:val="0054190F"/>
    <w:rsid w:val="00554268"/>
    <w:rsid w:val="005622D7"/>
    <w:rsid w:val="00562C2C"/>
    <w:rsid w:val="00577782"/>
    <w:rsid w:val="005838C0"/>
    <w:rsid w:val="00583C96"/>
    <w:rsid w:val="00592403"/>
    <w:rsid w:val="005939FA"/>
    <w:rsid w:val="0059629F"/>
    <w:rsid w:val="005A0A97"/>
    <w:rsid w:val="005A2CB2"/>
    <w:rsid w:val="005A4BDD"/>
    <w:rsid w:val="005A70BC"/>
    <w:rsid w:val="005B0A74"/>
    <w:rsid w:val="005B2B5E"/>
    <w:rsid w:val="005C5067"/>
    <w:rsid w:val="005E633F"/>
    <w:rsid w:val="005F0347"/>
    <w:rsid w:val="005F29AF"/>
    <w:rsid w:val="005F4211"/>
    <w:rsid w:val="005F708E"/>
    <w:rsid w:val="00607A30"/>
    <w:rsid w:val="00610E7B"/>
    <w:rsid w:val="00620C88"/>
    <w:rsid w:val="00625FAF"/>
    <w:rsid w:val="00626E50"/>
    <w:rsid w:val="00674094"/>
    <w:rsid w:val="00684A3E"/>
    <w:rsid w:val="00696541"/>
    <w:rsid w:val="006A3AFE"/>
    <w:rsid w:val="006C1C1E"/>
    <w:rsid w:val="006C572D"/>
    <w:rsid w:val="006C6BD4"/>
    <w:rsid w:val="006D1419"/>
    <w:rsid w:val="006D5560"/>
    <w:rsid w:val="00700EF5"/>
    <w:rsid w:val="00704F5E"/>
    <w:rsid w:val="0071143C"/>
    <w:rsid w:val="00723FC9"/>
    <w:rsid w:val="00736A1B"/>
    <w:rsid w:val="00741113"/>
    <w:rsid w:val="00741EBB"/>
    <w:rsid w:val="007532C3"/>
    <w:rsid w:val="00755863"/>
    <w:rsid w:val="0075638E"/>
    <w:rsid w:val="0077758E"/>
    <w:rsid w:val="00777DCD"/>
    <w:rsid w:val="00782B81"/>
    <w:rsid w:val="007A177E"/>
    <w:rsid w:val="007C6E56"/>
    <w:rsid w:val="007E0755"/>
    <w:rsid w:val="007E284C"/>
    <w:rsid w:val="007F790A"/>
    <w:rsid w:val="00802F3C"/>
    <w:rsid w:val="00827C0E"/>
    <w:rsid w:val="00855256"/>
    <w:rsid w:val="0086389A"/>
    <w:rsid w:val="008672DD"/>
    <w:rsid w:val="008731B5"/>
    <w:rsid w:val="008746EA"/>
    <w:rsid w:val="0089270A"/>
    <w:rsid w:val="008A387A"/>
    <w:rsid w:val="008A3AC0"/>
    <w:rsid w:val="008A7CA3"/>
    <w:rsid w:val="008E2595"/>
    <w:rsid w:val="008E3CA3"/>
    <w:rsid w:val="008F07EF"/>
    <w:rsid w:val="008F62CF"/>
    <w:rsid w:val="00900058"/>
    <w:rsid w:val="00902532"/>
    <w:rsid w:val="0091721B"/>
    <w:rsid w:val="00917E51"/>
    <w:rsid w:val="00924842"/>
    <w:rsid w:val="00934904"/>
    <w:rsid w:val="00941DF1"/>
    <w:rsid w:val="00960A0C"/>
    <w:rsid w:val="00964219"/>
    <w:rsid w:val="009749AC"/>
    <w:rsid w:val="00975546"/>
    <w:rsid w:val="009756D4"/>
    <w:rsid w:val="00976C8A"/>
    <w:rsid w:val="00994D02"/>
    <w:rsid w:val="009B3158"/>
    <w:rsid w:val="009D783A"/>
    <w:rsid w:val="009E01C1"/>
    <w:rsid w:val="009E3909"/>
    <w:rsid w:val="009F20F8"/>
    <w:rsid w:val="00A25749"/>
    <w:rsid w:val="00A46C60"/>
    <w:rsid w:val="00A54BE6"/>
    <w:rsid w:val="00A6489F"/>
    <w:rsid w:val="00A72F3F"/>
    <w:rsid w:val="00A75766"/>
    <w:rsid w:val="00A92D6A"/>
    <w:rsid w:val="00A95542"/>
    <w:rsid w:val="00AB4518"/>
    <w:rsid w:val="00AB6B47"/>
    <w:rsid w:val="00AC0079"/>
    <w:rsid w:val="00AD4117"/>
    <w:rsid w:val="00AD6B5A"/>
    <w:rsid w:val="00AE1F14"/>
    <w:rsid w:val="00B076C5"/>
    <w:rsid w:val="00B1722B"/>
    <w:rsid w:val="00B176DC"/>
    <w:rsid w:val="00B24CF6"/>
    <w:rsid w:val="00B25EBB"/>
    <w:rsid w:val="00B35500"/>
    <w:rsid w:val="00B36BBB"/>
    <w:rsid w:val="00B70B3D"/>
    <w:rsid w:val="00B71144"/>
    <w:rsid w:val="00B74C62"/>
    <w:rsid w:val="00B96A35"/>
    <w:rsid w:val="00BA7956"/>
    <w:rsid w:val="00BB5C9A"/>
    <w:rsid w:val="00BB6F53"/>
    <w:rsid w:val="00BD1A03"/>
    <w:rsid w:val="00BD1BA9"/>
    <w:rsid w:val="00C03748"/>
    <w:rsid w:val="00C217DC"/>
    <w:rsid w:val="00C3640A"/>
    <w:rsid w:val="00C45906"/>
    <w:rsid w:val="00C54E98"/>
    <w:rsid w:val="00C55667"/>
    <w:rsid w:val="00C65EE0"/>
    <w:rsid w:val="00C729E9"/>
    <w:rsid w:val="00C75468"/>
    <w:rsid w:val="00CB5B93"/>
    <w:rsid w:val="00CC1E4C"/>
    <w:rsid w:val="00CD0AE7"/>
    <w:rsid w:val="00CE3AD1"/>
    <w:rsid w:val="00CE442D"/>
    <w:rsid w:val="00CF18BD"/>
    <w:rsid w:val="00CF26B9"/>
    <w:rsid w:val="00D056DD"/>
    <w:rsid w:val="00D15BA5"/>
    <w:rsid w:val="00D203C2"/>
    <w:rsid w:val="00D22230"/>
    <w:rsid w:val="00D272CC"/>
    <w:rsid w:val="00D300EC"/>
    <w:rsid w:val="00D460BE"/>
    <w:rsid w:val="00D56D08"/>
    <w:rsid w:val="00D600AB"/>
    <w:rsid w:val="00D7002D"/>
    <w:rsid w:val="00D80527"/>
    <w:rsid w:val="00D9063F"/>
    <w:rsid w:val="00DA448F"/>
    <w:rsid w:val="00DB4F54"/>
    <w:rsid w:val="00DB7D13"/>
    <w:rsid w:val="00DD7757"/>
    <w:rsid w:val="00DF70F0"/>
    <w:rsid w:val="00E05DE7"/>
    <w:rsid w:val="00E065A2"/>
    <w:rsid w:val="00E07FE4"/>
    <w:rsid w:val="00E11131"/>
    <w:rsid w:val="00E5001F"/>
    <w:rsid w:val="00E61A48"/>
    <w:rsid w:val="00E66959"/>
    <w:rsid w:val="00E83C9F"/>
    <w:rsid w:val="00EA4E29"/>
    <w:rsid w:val="00EB5C82"/>
    <w:rsid w:val="00EC64E7"/>
    <w:rsid w:val="00EE7764"/>
    <w:rsid w:val="00F00420"/>
    <w:rsid w:val="00F06B31"/>
    <w:rsid w:val="00F44F0B"/>
    <w:rsid w:val="00F65EAF"/>
    <w:rsid w:val="00F67829"/>
    <w:rsid w:val="00F8260C"/>
    <w:rsid w:val="00F83299"/>
    <w:rsid w:val="00F8754C"/>
    <w:rsid w:val="00F91B64"/>
    <w:rsid w:val="00FC620D"/>
    <w:rsid w:val="00FE09A2"/>
    <w:rsid w:val="00FE4CA1"/>
    <w:rsid w:val="00FF397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aliases w:val="Bullet,Bullet Point List"/>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39"/>
      </w:numPr>
      <w:ind w:left="1080"/>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aliases w:val="Bullet Char,Bullet Point List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semiHidden/>
    <w:unhideWhenUsed/>
    <w:rsid w:val="001A7AE8"/>
    <w:rPr>
      <w:color w:val="605E5C"/>
      <w:shd w:val="clear" w:color="auto" w:fill="E1DFDD"/>
    </w:rPr>
  </w:style>
  <w:style w:type="character" w:customStyle="1" w:styleId="normaltextrun">
    <w:name w:val="normaltextrun"/>
    <w:basedOn w:val="DefaultParagraphFont"/>
    <w:rsid w:val="00BB6F53"/>
  </w:style>
  <w:style w:type="character" w:customStyle="1" w:styleId="eop">
    <w:name w:val="eop"/>
    <w:basedOn w:val="DefaultParagraphFont"/>
    <w:rsid w:val="00BB6F53"/>
  </w:style>
  <w:style w:type="paragraph" w:customStyle="1" w:styleId="TableParagraph">
    <w:name w:val="Table Paragraph"/>
    <w:basedOn w:val="Normal"/>
    <w:uiPriority w:val="1"/>
    <w:qFormat/>
    <w:rsid w:val="00620C88"/>
    <w:pPr>
      <w:widowControl w:val="0"/>
      <w:autoSpaceDE w:val="0"/>
      <w:autoSpaceDN w:val="0"/>
      <w:spacing w:after="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9806">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3442743">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641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2.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customXml/itemProps4.xml><?xml version="1.0" encoding="utf-8"?>
<ds:datastoreItem xmlns:ds="http://schemas.openxmlformats.org/officeDocument/2006/customXml" ds:itemID="{2B0F4959-4018-4885-9891-0AECC07F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8</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2022-05-17T02:16:00Z</dcterms:created>
  <dcterms:modified xsi:type="dcterms:W3CDTF">2022-05-17T02:16:00Z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