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E778" w14:textId="77777777" w:rsidR="004C3889" w:rsidRDefault="004C3889" w:rsidP="004C3889">
      <w:pPr>
        <w:rPr>
          <w:b/>
          <w:bCs/>
        </w:rPr>
      </w:pPr>
    </w:p>
    <w:p w14:paraId="37981A9F" w14:textId="77777777" w:rsidR="006712F0" w:rsidRDefault="006712F0" w:rsidP="004C3889">
      <w:pPr>
        <w:rPr>
          <w:b/>
          <w:bCs/>
        </w:rPr>
      </w:pPr>
    </w:p>
    <w:p w14:paraId="3E3985D8" w14:textId="77777777" w:rsidR="006712F0" w:rsidRPr="001358E4" w:rsidRDefault="006712F0" w:rsidP="004C3889">
      <w:pPr>
        <w:rPr>
          <w:b/>
          <w:bCs/>
        </w:rPr>
      </w:pPr>
    </w:p>
    <w:tbl>
      <w:tblPr>
        <w:tblStyle w:val="TableGrid"/>
        <w:tblpPr w:leftFromText="180" w:rightFromText="180" w:vertAnchor="text" w:tblpX="137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0070F1" w:themeColor="accent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7511"/>
      </w:tblGrid>
      <w:tr w:rsidR="00577782" w:rsidRPr="001358E4" w14:paraId="01DF1C19" w14:textId="77777777" w:rsidTr="411AFAF6">
        <w:tc>
          <w:tcPr>
            <w:tcW w:w="1980" w:type="dxa"/>
            <w:tcBorders>
              <w:top w:val="single" w:sz="8" w:space="0" w:color="0070F1" w:themeColor="accent1"/>
              <w:bottom w:val="single" w:sz="12" w:space="0" w:color="0070F1" w:themeColor="accent1"/>
            </w:tcBorders>
            <w:shd w:val="clear" w:color="auto" w:fill="auto"/>
            <w:vAlign w:val="center"/>
          </w:tcPr>
          <w:p w14:paraId="21352191" w14:textId="054B275B" w:rsidR="00577782" w:rsidRPr="001358E4" w:rsidRDefault="40BDB82B" w:rsidP="00326D0F">
            <w:pPr>
              <w:pStyle w:val="Tableheading"/>
            </w:pPr>
            <w:r w:rsidRPr="001358E4">
              <w:t>Position</w:t>
            </w:r>
            <w:r w:rsidR="00501093">
              <w:t xml:space="preserve"> </w:t>
            </w:r>
          </w:p>
        </w:tc>
        <w:tc>
          <w:tcPr>
            <w:tcW w:w="7511" w:type="dxa"/>
            <w:tcBorders>
              <w:top w:val="single" w:sz="8" w:space="0" w:color="0070F1" w:themeColor="accent1"/>
              <w:bottom w:val="single" w:sz="12" w:space="0" w:color="0070F1" w:themeColor="accent1"/>
            </w:tcBorders>
            <w:shd w:val="clear" w:color="auto" w:fill="FFFFFF" w:themeFill="background2"/>
            <w:vAlign w:val="center"/>
          </w:tcPr>
          <w:p w14:paraId="0E558514" w14:textId="7A7C815A" w:rsidR="00577782" w:rsidRPr="001358E4" w:rsidRDefault="00335AE4" w:rsidP="00326D0F">
            <w:pPr>
              <w:spacing w:before="120"/>
              <w:rPr>
                <w:b/>
                <w:bCs/>
              </w:rPr>
            </w:pPr>
            <w:r w:rsidRPr="00012D30">
              <w:rPr>
                <w:b/>
                <w:bCs/>
              </w:rPr>
              <w:t>NewAccess Senior</w:t>
            </w:r>
            <w:r w:rsidR="434E12C8" w:rsidRPr="00012D30">
              <w:rPr>
                <w:b/>
                <w:bCs/>
              </w:rPr>
              <w:t xml:space="preserve"> </w:t>
            </w:r>
            <w:r w:rsidR="0D0097D2" w:rsidRPr="00012D30">
              <w:rPr>
                <w:b/>
                <w:bCs/>
              </w:rPr>
              <w:t xml:space="preserve">Account </w:t>
            </w:r>
            <w:r w:rsidR="434E12C8" w:rsidRPr="00012D30">
              <w:rPr>
                <w:b/>
                <w:bCs/>
              </w:rPr>
              <w:t>Advis</w:t>
            </w:r>
            <w:r w:rsidR="0CF1C2E6" w:rsidRPr="00012D30">
              <w:rPr>
                <w:b/>
                <w:bCs/>
              </w:rPr>
              <w:t>e</w:t>
            </w:r>
            <w:r w:rsidR="434E12C8" w:rsidRPr="00012D30">
              <w:rPr>
                <w:b/>
                <w:bCs/>
              </w:rPr>
              <w:t>r</w:t>
            </w:r>
          </w:p>
        </w:tc>
      </w:tr>
      <w:tr w:rsidR="006A3AFE" w:rsidRPr="001358E4" w14:paraId="15ADCA9C" w14:textId="77777777" w:rsidTr="411AFAF6">
        <w:tc>
          <w:tcPr>
            <w:tcW w:w="1980" w:type="dxa"/>
            <w:tcBorders>
              <w:top w:val="single" w:sz="12" w:space="0" w:color="0070F1" w:themeColor="accent1"/>
            </w:tcBorders>
            <w:shd w:val="clear" w:color="auto" w:fill="auto"/>
            <w:vAlign w:val="center"/>
          </w:tcPr>
          <w:p w14:paraId="33B0C656" w14:textId="2EE6426D" w:rsidR="006A3AFE" w:rsidRPr="001358E4" w:rsidRDefault="001A1A3F" w:rsidP="00326D0F">
            <w:pPr>
              <w:pStyle w:val="Tableheading"/>
            </w:pPr>
            <w:r>
              <w:t>R</w:t>
            </w:r>
            <w:r w:rsidR="40BDB82B" w:rsidRPr="001358E4">
              <w:t>eports to</w:t>
            </w:r>
          </w:p>
        </w:tc>
        <w:tc>
          <w:tcPr>
            <w:tcW w:w="7511" w:type="dxa"/>
            <w:tcBorders>
              <w:top w:val="single" w:sz="12" w:space="0" w:color="0070F1" w:themeColor="accent1"/>
            </w:tcBorders>
            <w:shd w:val="clear" w:color="auto" w:fill="FFFFFF" w:themeFill="background2"/>
            <w:vAlign w:val="center"/>
          </w:tcPr>
          <w:p w14:paraId="1FB59F52" w14:textId="748E25DB" w:rsidR="006A3AFE" w:rsidRPr="001358E4" w:rsidRDefault="00D64BB4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Early Intervention Operations Manager</w:t>
            </w:r>
          </w:p>
        </w:tc>
      </w:tr>
      <w:tr w:rsidR="009E2D50" w:rsidRPr="001358E4" w14:paraId="6A2DA5E5" w14:textId="77777777" w:rsidTr="411AFAF6">
        <w:tc>
          <w:tcPr>
            <w:tcW w:w="1980" w:type="dxa"/>
            <w:shd w:val="clear" w:color="auto" w:fill="auto"/>
            <w:vAlign w:val="center"/>
          </w:tcPr>
          <w:p w14:paraId="1F03C9C7" w14:textId="43441640" w:rsidR="009E2D50" w:rsidRDefault="009E2D50" w:rsidP="00326D0F">
            <w:pPr>
              <w:pStyle w:val="Tableheading"/>
            </w:pPr>
            <w:r>
              <w:t>Work Level</w:t>
            </w:r>
          </w:p>
        </w:tc>
        <w:tc>
          <w:tcPr>
            <w:tcW w:w="7511" w:type="dxa"/>
            <w:shd w:val="clear" w:color="auto" w:fill="FFFFFF" w:themeFill="background2"/>
            <w:vAlign w:val="center"/>
          </w:tcPr>
          <w:p w14:paraId="6F60A883" w14:textId="2F07032E" w:rsidR="009E2D50" w:rsidRDefault="00F33F29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7782" w:rsidRPr="001358E4" w14:paraId="47F0A737" w14:textId="77777777" w:rsidTr="411AFAF6">
        <w:tc>
          <w:tcPr>
            <w:tcW w:w="1980" w:type="dxa"/>
            <w:shd w:val="clear" w:color="auto" w:fill="auto"/>
            <w:vAlign w:val="center"/>
          </w:tcPr>
          <w:p w14:paraId="674597AA" w14:textId="5A93F013" w:rsidR="00577782" w:rsidRPr="001358E4" w:rsidRDefault="007A7C1F" w:rsidP="00326D0F">
            <w:pPr>
              <w:pStyle w:val="Tableheading"/>
            </w:pPr>
            <w:r>
              <w:t>T</w:t>
            </w:r>
            <w:r w:rsidR="40BDB82B" w:rsidRPr="001358E4">
              <w:t>eam</w:t>
            </w:r>
          </w:p>
        </w:tc>
        <w:tc>
          <w:tcPr>
            <w:tcW w:w="7511" w:type="dxa"/>
            <w:shd w:val="clear" w:color="auto" w:fill="FFFFFF" w:themeFill="background2"/>
            <w:vAlign w:val="center"/>
          </w:tcPr>
          <w:p w14:paraId="73D83185" w14:textId="727FF05A" w:rsidR="00577782" w:rsidRPr="001358E4" w:rsidRDefault="000A50BA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Early Intervention </w:t>
            </w:r>
          </w:p>
        </w:tc>
      </w:tr>
      <w:tr w:rsidR="007A7C1F" w:rsidRPr="001358E4" w14:paraId="16D7CA93" w14:textId="77777777" w:rsidTr="411AFAF6">
        <w:tc>
          <w:tcPr>
            <w:tcW w:w="1980" w:type="dxa"/>
            <w:shd w:val="clear" w:color="auto" w:fill="auto"/>
            <w:vAlign w:val="center"/>
          </w:tcPr>
          <w:p w14:paraId="3F339275" w14:textId="3D0813DD" w:rsidR="007A7C1F" w:rsidRPr="001358E4" w:rsidRDefault="007A7C1F" w:rsidP="00326D0F">
            <w:pPr>
              <w:pStyle w:val="Tableheading"/>
            </w:pPr>
            <w:r w:rsidRPr="001358E4">
              <w:t>Group</w:t>
            </w:r>
          </w:p>
        </w:tc>
        <w:tc>
          <w:tcPr>
            <w:tcW w:w="7511" w:type="dxa"/>
            <w:shd w:val="clear" w:color="auto" w:fill="FFFFFF" w:themeFill="background2"/>
            <w:vAlign w:val="center"/>
          </w:tcPr>
          <w:p w14:paraId="388664DA" w14:textId="39CB4B7E" w:rsidR="007A7C1F" w:rsidRPr="001358E4" w:rsidRDefault="000A50BA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Service</w:t>
            </w:r>
            <w:r w:rsidR="00E379FC">
              <w:rPr>
                <w:b/>
                <w:bCs/>
              </w:rPr>
              <w:t xml:space="preserve">s and </w:t>
            </w:r>
            <w:proofErr w:type="gramStart"/>
            <w:r w:rsidR="00E379FC">
              <w:rPr>
                <w:b/>
                <w:bCs/>
              </w:rPr>
              <w:t>Supports</w:t>
            </w:r>
            <w:proofErr w:type="gramEnd"/>
            <w:r w:rsidR="00C80B86">
              <w:rPr>
                <w:b/>
                <w:bCs/>
              </w:rPr>
              <w:t>.</w:t>
            </w:r>
          </w:p>
        </w:tc>
      </w:tr>
      <w:tr w:rsidR="009E01C1" w:rsidRPr="001358E4" w14:paraId="2A0524F8" w14:textId="77777777" w:rsidTr="411AFAF6">
        <w:tc>
          <w:tcPr>
            <w:tcW w:w="1980" w:type="dxa"/>
            <w:shd w:val="clear" w:color="auto" w:fill="auto"/>
            <w:vAlign w:val="center"/>
          </w:tcPr>
          <w:p w14:paraId="1A3A1614" w14:textId="6D95E4FC" w:rsidR="009E01C1" w:rsidRPr="001358E4" w:rsidRDefault="40BDB82B" w:rsidP="00326D0F">
            <w:pPr>
              <w:pStyle w:val="Tableheading"/>
            </w:pPr>
            <w:r w:rsidRPr="001358E4">
              <w:t>Location</w:t>
            </w:r>
          </w:p>
        </w:tc>
        <w:tc>
          <w:tcPr>
            <w:tcW w:w="7511" w:type="dxa"/>
            <w:shd w:val="clear" w:color="auto" w:fill="FFFFFF" w:themeFill="background2"/>
            <w:vAlign w:val="center"/>
          </w:tcPr>
          <w:p w14:paraId="416DBD54" w14:textId="2E20F46C" w:rsidR="001A7AE8" w:rsidRPr="001358E4" w:rsidRDefault="40BDB82B" w:rsidP="00326D0F">
            <w:pPr>
              <w:spacing w:before="120"/>
              <w:rPr>
                <w:b/>
                <w:bCs/>
              </w:rPr>
            </w:pPr>
            <w:r w:rsidRPr="001358E4">
              <w:rPr>
                <w:b/>
                <w:bCs/>
              </w:rPr>
              <w:t>Onsite at the Hub in Melbourne CBD or Hybrid</w:t>
            </w:r>
          </w:p>
        </w:tc>
      </w:tr>
      <w:tr w:rsidR="00577782" w:rsidRPr="001358E4" w14:paraId="2A33BAF5" w14:textId="77777777" w:rsidTr="411AFAF6">
        <w:tc>
          <w:tcPr>
            <w:tcW w:w="1980" w:type="dxa"/>
            <w:shd w:val="clear" w:color="auto" w:fill="auto"/>
            <w:vAlign w:val="center"/>
          </w:tcPr>
          <w:p w14:paraId="4F61FE76" w14:textId="37CADCD8" w:rsidR="00577782" w:rsidRPr="001358E4" w:rsidRDefault="40BDB82B" w:rsidP="00326D0F">
            <w:pPr>
              <w:pStyle w:val="Tableheading"/>
            </w:pPr>
            <w:r w:rsidRPr="001358E4">
              <w:t>Direct reports</w:t>
            </w:r>
          </w:p>
        </w:tc>
        <w:tc>
          <w:tcPr>
            <w:tcW w:w="7511" w:type="dxa"/>
            <w:shd w:val="clear" w:color="auto" w:fill="FFFFFF" w:themeFill="background2"/>
            <w:vAlign w:val="center"/>
          </w:tcPr>
          <w:p w14:paraId="7D6BC363" w14:textId="0EDA4287" w:rsidR="00577782" w:rsidRPr="001358E4" w:rsidRDefault="00F33F29" w:rsidP="2575C282">
            <w:pPr>
              <w:spacing w:before="120"/>
            </w:pPr>
            <w:r>
              <w:rPr>
                <w:b/>
              </w:rPr>
              <w:t>NA</w:t>
            </w:r>
          </w:p>
        </w:tc>
      </w:tr>
      <w:tr w:rsidR="00777DCD" w14:paraId="4792C669" w14:textId="77777777" w:rsidTr="411AFAF6">
        <w:trPr>
          <w:trHeight w:val="569"/>
        </w:trPr>
        <w:tc>
          <w:tcPr>
            <w:tcW w:w="9491" w:type="dxa"/>
            <w:gridSpan w:val="2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27036051" w14:textId="34695A99" w:rsidR="00777DCD" w:rsidRDefault="4948F2E9" w:rsidP="001D5F2F">
            <w:pPr>
              <w:pStyle w:val="Tableheading"/>
              <w:numPr>
                <w:ilvl w:val="0"/>
                <w:numId w:val="31"/>
              </w:numPr>
              <w:ind w:left="447" w:hanging="501"/>
            </w:pPr>
            <w:r>
              <w:t>Purpose of the position</w:t>
            </w:r>
            <w:r w:rsidR="21E4F2D0">
              <w:t xml:space="preserve"> and link to </w:t>
            </w:r>
            <w:r w:rsidR="298425CC">
              <w:t>s</w:t>
            </w:r>
            <w:r w:rsidR="21E4F2D0">
              <w:t>trategy</w:t>
            </w:r>
          </w:p>
        </w:tc>
      </w:tr>
      <w:tr w:rsidR="00EB1C7D" w14:paraId="0264BB6C" w14:textId="77777777" w:rsidTr="411AFAF6">
        <w:trPr>
          <w:trHeight w:val="231"/>
        </w:trPr>
        <w:tc>
          <w:tcPr>
            <w:tcW w:w="9491" w:type="dxa"/>
            <w:gridSpan w:val="2"/>
            <w:shd w:val="clear" w:color="auto" w:fill="auto"/>
          </w:tcPr>
          <w:p w14:paraId="0159DDA5" w14:textId="77777777" w:rsidR="00EB1C7D" w:rsidRDefault="00825B13" w:rsidP="4A1F0148">
            <w:pPr>
              <w:rPr>
                <w:rFonts w:eastAsiaTheme="minorEastAsia"/>
                <w:color w:val="000000" w:themeColor="text2"/>
                <w:lang w:eastAsia="en-GB"/>
              </w:rPr>
            </w:pPr>
            <w:r w:rsidRPr="4A1F0148">
              <w:rPr>
                <w:rFonts w:eastAsia="Times New Roman"/>
                <w:color w:val="000000" w:themeColor="text2"/>
                <w:lang w:eastAsia="en-GB"/>
              </w:rPr>
              <w:t>A</w:t>
            </w:r>
            <w:r w:rsidRPr="4A1F0148">
              <w:rPr>
                <w:rFonts w:eastAsiaTheme="minorEastAsia"/>
                <w:color w:val="000000" w:themeColor="text2"/>
                <w:lang w:eastAsia="en-GB"/>
              </w:rPr>
              <w:t>ligns with</w:t>
            </w:r>
            <w:r w:rsidR="005E4A3D" w:rsidRPr="4A1F0148">
              <w:rPr>
                <w:rFonts w:eastAsiaTheme="minorEastAsia"/>
                <w:color w:val="000000" w:themeColor="text2"/>
                <w:lang w:eastAsia="en-GB"/>
              </w:rPr>
              <w:t xml:space="preserve"> and responsible for the delivery of Beyond Blue’s Supporting strategic goal so that more people access support earlier.</w:t>
            </w:r>
          </w:p>
          <w:p w14:paraId="350A84C4" w14:textId="55B4BA06" w:rsidR="00D3781E" w:rsidRPr="005713A2" w:rsidRDefault="003C5691" w:rsidP="411AFAF6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Working under the direction of the </w:t>
            </w:r>
            <w:r w:rsidR="00C84B88"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Early Intervention </w:t>
            </w:r>
            <w:r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Operations Manager, the NewAccess </w:t>
            </w:r>
            <w:r w:rsidR="6C530A6A"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Senior </w:t>
            </w:r>
            <w:r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Account </w:t>
            </w:r>
            <w:r w:rsidR="0CCE8D00"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Advis</w:t>
            </w:r>
            <w:r w:rsidR="1E46EE99"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="0CCE8D00"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r </w:t>
            </w:r>
            <w:r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is responsible for providing subject matter expertise about NewAccess </w:t>
            </w:r>
            <w:r w:rsidR="00CE106F"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product</w:t>
            </w:r>
            <w:r w:rsidR="006A787C"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="00CE106F"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 and services </w:t>
            </w:r>
            <w:r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to </w:t>
            </w:r>
            <w:r w:rsidR="003F6EB2"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new and emerging </w:t>
            </w:r>
            <w:r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Account Advisors </w:t>
            </w:r>
            <w:r w:rsidR="0093409E"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and </w:t>
            </w:r>
            <w:r w:rsidR="00147B22"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other Beyond Blue staff.</w:t>
            </w:r>
            <w:r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3A6AE0"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Th</w:t>
            </w:r>
            <w:r w:rsidR="034BE64F"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ey</w:t>
            </w:r>
            <w:r w:rsidR="003A6AE0"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 will support the Business Development Manager to </w:t>
            </w:r>
            <w:r w:rsidR="005713A2"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negotiate </w:t>
            </w:r>
            <w:r w:rsidR="00E956A9"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and establish</w:t>
            </w:r>
            <w:r w:rsidR="005713A2" w:rsidRPr="411AFAF6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 new products or services.</w:t>
            </w:r>
          </w:p>
          <w:p w14:paraId="58481DE4" w14:textId="2212934E" w:rsidR="003C5691" w:rsidRPr="00D3781E" w:rsidRDefault="003C5691" w:rsidP="4A1F0148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The </w:t>
            </w:r>
            <w:r w:rsidR="00D3781E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NewAccess </w:t>
            </w:r>
            <w:r w:rsidR="5A148D78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Senior </w:t>
            </w:r>
            <w:r w:rsidR="153AF729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Account </w:t>
            </w:r>
            <w:r w:rsidR="5A148D78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Advis</w:t>
            </w:r>
            <w:r w:rsidR="32DA4D91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="5A148D78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r </w:t>
            </w:r>
            <w:r w:rsidR="004C5D54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is</w:t>
            </w:r>
            <w:r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 responsible for</w:t>
            </w:r>
            <w:r w:rsidR="00147B22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 coordinat</w:t>
            </w:r>
            <w:r w:rsidR="00945BF2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ing</w:t>
            </w:r>
            <w:r w:rsidR="00147B22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DA5C58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daily, </w:t>
            </w:r>
            <w:proofErr w:type="gramStart"/>
            <w:r w:rsidR="00DA5C58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weekly</w:t>
            </w:r>
            <w:proofErr w:type="gramEnd"/>
            <w:r w:rsidR="00DA5C58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 and monthly </w:t>
            </w:r>
            <w:r w:rsidR="00147B22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tasks for the smooth operational rhythm of </w:t>
            </w:r>
            <w:r w:rsidR="00DA5C58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all </w:t>
            </w:r>
            <w:proofErr w:type="spellStart"/>
            <w:r w:rsidR="00147B22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NewAccess</w:t>
            </w:r>
            <w:proofErr w:type="spellEnd"/>
            <w:r w:rsidR="00147B22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 products and services.</w:t>
            </w:r>
          </w:p>
          <w:p w14:paraId="61AF8D24" w14:textId="4FA880CB" w:rsidR="003C5691" w:rsidRDefault="003C5691" w:rsidP="4A1F0148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The NewAccess</w:t>
            </w:r>
            <w:r w:rsidR="757C1F38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 Senior </w:t>
            </w:r>
            <w:r w:rsidR="64BC4F9B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Account </w:t>
            </w:r>
            <w:r w:rsidR="757C1F38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Advis</w:t>
            </w:r>
            <w:r w:rsidR="25E29DFD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er</w:t>
            </w:r>
            <w:r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0C7916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will </w:t>
            </w:r>
            <w:r w:rsidR="003C5C5E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also </w:t>
            </w:r>
            <w:r w:rsidR="000C7916"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provide</w:t>
            </w:r>
            <w:r w:rsidRPr="4A1F0148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 operational support to NewAccess sites or communities by providing:</w:t>
            </w:r>
          </w:p>
          <w:p w14:paraId="2A76533A" w14:textId="77777777" w:rsidR="00B4323C" w:rsidRDefault="00B4323C" w:rsidP="00B4323C">
            <w:pPr>
              <w:pStyle w:val="ListParagraph"/>
              <w:numPr>
                <w:ilvl w:val="0"/>
                <w:numId w:val="37"/>
              </w:numPr>
            </w:pPr>
            <w:r>
              <w:t>Effective engagement and support for stakeholders who have adopted Beyond Blue’s early intervention products, including:</w:t>
            </w:r>
          </w:p>
          <w:p w14:paraId="1863AF5D" w14:textId="77777777" w:rsidR="00B4323C" w:rsidRDefault="00B4323C" w:rsidP="00B4323C">
            <w:pPr>
              <w:pStyle w:val="ListParagraph"/>
              <w:numPr>
                <w:ilvl w:val="1"/>
                <w:numId w:val="37"/>
              </w:numPr>
            </w:pPr>
            <w:r>
              <w:t>Supporting the nominated service delivery provider and coach workforce and ensuring their strong performance.</w:t>
            </w:r>
          </w:p>
          <w:p w14:paraId="434B4DB7" w14:textId="77777777" w:rsidR="00B4323C" w:rsidRDefault="00B4323C" w:rsidP="00B4323C">
            <w:pPr>
              <w:pStyle w:val="ListParagraph"/>
              <w:numPr>
                <w:ilvl w:val="1"/>
                <w:numId w:val="37"/>
              </w:numPr>
            </w:pPr>
            <w:r>
              <w:t>Support to the appointed workforce training and supervision provider.</w:t>
            </w:r>
          </w:p>
          <w:p w14:paraId="3AF13189" w14:textId="77777777" w:rsidR="00B4323C" w:rsidRDefault="00B4323C" w:rsidP="00B4323C">
            <w:pPr>
              <w:pStyle w:val="ListParagraph"/>
              <w:numPr>
                <w:ilvl w:val="1"/>
                <w:numId w:val="37"/>
              </w:numPr>
            </w:pPr>
            <w:r>
              <w:t>Facilitate program steering and reporting.</w:t>
            </w:r>
          </w:p>
          <w:p w14:paraId="52061642" w14:textId="77777777" w:rsidR="00B4323C" w:rsidRDefault="00B4323C" w:rsidP="00B4323C">
            <w:pPr>
              <w:pStyle w:val="ListParagraph"/>
              <w:numPr>
                <w:ilvl w:val="0"/>
                <w:numId w:val="37"/>
              </w:numPr>
            </w:pPr>
            <w:r>
              <w:t>Overall program management including:</w:t>
            </w:r>
          </w:p>
          <w:p w14:paraId="4E90B260" w14:textId="77777777" w:rsidR="00B4323C" w:rsidRDefault="00B4323C" w:rsidP="00B4323C">
            <w:pPr>
              <w:pStyle w:val="ListParagraph"/>
              <w:numPr>
                <w:ilvl w:val="1"/>
                <w:numId w:val="37"/>
              </w:numPr>
            </w:pPr>
            <w:r>
              <w:t>NewAccess license management and advice</w:t>
            </w:r>
          </w:p>
          <w:p w14:paraId="2017E2E5" w14:textId="77777777" w:rsidR="00B4323C" w:rsidRDefault="00B4323C" w:rsidP="00B4323C">
            <w:pPr>
              <w:pStyle w:val="ListParagraph"/>
              <w:numPr>
                <w:ilvl w:val="1"/>
                <w:numId w:val="37"/>
              </w:numPr>
            </w:pPr>
            <w:r>
              <w:t xml:space="preserve">Model of care fidelity oversight and guidance </w:t>
            </w:r>
          </w:p>
          <w:p w14:paraId="4F6832BF" w14:textId="77777777" w:rsidR="00B4323C" w:rsidRDefault="00B4323C" w:rsidP="00B4323C">
            <w:pPr>
              <w:pStyle w:val="ListParagraph"/>
              <w:numPr>
                <w:ilvl w:val="1"/>
                <w:numId w:val="37"/>
              </w:numPr>
            </w:pPr>
            <w:r>
              <w:t>Quality assurance, incident, and complaint management and guidance on continuous improvement</w:t>
            </w:r>
          </w:p>
          <w:p w14:paraId="45168889" w14:textId="77777777" w:rsidR="00B4323C" w:rsidRDefault="00B4323C" w:rsidP="00B4323C">
            <w:pPr>
              <w:pStyle w:val="ListParagraph"/>
              <w:numPr>
                <w:ilvl w:val="1"/>
                <w:numId w:val="37"/>
              </w:numPr>
            </w:pPr>
            <w:r>
              <w:t xml:space="preserve">Localised marketing strategies and collateral </w:t>
            </w:r>
          </w:p>
          <w:p w14:paraId="6B6FB522" w14:textId="01A57F6F" w:rsidR="00B4323C" w:rsidRDefault="00B4323C" w:rsidP="00B4323C">
            <w:pPr>
              <w:pStyle w:val="ListParagraph"/>
              <w:numPr>
                <w:ilvl w:val="1"/>
                <w:numId w:val="37"/>
              </w:numPr>
            </w:pPr>
            <w:r>
              <w:t>Stakeholder engagement and implementation of activities to build service knowledge and drive people to NewAccess.</w:t>
            </w:r>
          </w:p>
          <w:p w14:paraId="3233A599" w14:textId="3784BAD6" w:rsidR="002662F0" w:rsidRPr="000E35AA" w:rsidRDefault="00B4323C" w:rsidP="00B4323C">
            <w:pPr>
              <w:pStyle w:val="ListParagraph"/>
              <w:numPr>
                <w:ilvl w:val="1"/>
                <w:numId w:val="37"/>
              </w:numPr>
            </w:pPr>
            <w:r>
              <w:lastRenderedPageBreak/>
              <w:t>Reporting and data insights to monitor performance, improve service reach and client outcomes.</w:t>
            </w:r>
          </w:p>
        </w:tc>
      </w:tr>
      <w:tr w:rsidR="00EB1C7D" w14:paraId="46763343" w14:textId="77777777" w:rsidTr="411AFAF6">
        <w:trPr>
          <w:trHeight w:val="569"/>
        </w:trPr>
        <w:tc>
          <w:tcPr>
            <w:tcW w:w="9491" w:type="dxa"/>
            <w:gridSpan w:val="2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294E9350" w14:textId="1C928A44" w:rsidR="00EB1C7D" w:rsidRDefault="77675E92" w:rsidP="00C627F0">
            <w:pPr>
              <w:pStyle w:val="Tableheading"/>
              <w:numPr>
                <w:ilvl w:val="0"/>
                <w:numId w:val="31"/>
              </w:numPr>
              <w:ind w:left="447" w:hanging="501"/>
            </w:pPr>
            <w:r>
              <w:lastRenderedPageBreak/>
              <w:t xml:space="preserve">Key </w:t>
            </w:r>
            <w:r w:rsidR="1ECBC90F">
              <w:t>a</w:t>
            </w:r>
            <w:r>
              <w:t>ccountabilities</w:t>
            </w:r>
            <w:r w:rsidR="41FBD71E">
              <w:t xml:space="preserve"> of </w:t>
            </w:r>
            <w:r w:rsidR="32F25050">
              <w:t>p</w:t>
            </w:r>
            <w:r w:rsidR="41FBD71E">
              <w:t>osition</w:t>
            </w:r>
          </w:p>
        </w:tc>
      </w:tr>
      <w:tr w:rsidR="001C5F9E" w14:paraId="3FB48344" w14:textId="77777777" w:rsidTr="411AFAF6">
        <w:trPr>
          <w:trHeight w:val="228"/>
        </w:trPr>
        <w:tc>
          <w:tcPr>
            <w:tcW w:w="9491" w:type="dxa"/>
            <w:gridSpan w:val="2"/>
            <w:shd w:val="clear" w:color="auto" w:fill="auto"/>
          </w:tcPr>
          <w:p w14:paraId="17A51161" w14:textId="22D2D2FB" w:rsidR="001C5F9E" w:rsidRDefault="0083428E" w:rsidP="001358E4">
            <w:pPr>
              <w:pStyle w:val="Tableheading"/>
            </w:pPr>
            <w:r>
              <w:t xml:space="preserve">Operational </w:t>
            </w:r>
            <w:r w:rsidR="00706A5A">
              <w:t>Support</w:t>
            </w:r>
            <w:r>
              <w:t xml:space="preserve"> </w:t>
            </w:r>
          </w:p>
          <w:p w14:paraId="12C7C954" w14:textId="772205A4" w:rsidR="00346512" w:rsidRPr="008B7CD8" w:rsidRDefault="00965464" w:rsidP="008B7CD8">
            <w:pPr>
              <w:pStyle w:val="Bullets"/>
              <w:spacing w:after="0"/>
              <w:contextualSpacing w:val="0"/>
              <w:rPr>
                <w:rStyle w:val="normaltextrun"/>
              </w:rPr>
            </w:pPr>
            <w:r w:rsidRPr="008B7CD8">
              <w:rPr>
                <w:rStyle w:val="normaltextrun"/>
                <w:rFonts w:cstheme="minorHAnsi"/>
              </w:rPr>
              <w:t>Support the Business Development Manager to negotiate and establish new products or services</w:t>
            </w:r>
            <w:r w:rsidR="00346512" w:rsidRPr="008B7CD8">
              <w:rPr>
                <w:rStyle w:val="normaltextrun"/>
                <w:rFonts w:cstheme="minorHAnsi"/>
              </w:rPr>
              <w:t xml:space="preserve"> and support the Operational Manager to</w:t>
            </w:r>
            <w:r w:rsidR="008B7CD8" w:rsidRPr="008B7CD8">
              <w:rPr>
                <w:rStyle w:val="normaltextrun"/>
                <w:rFonts w:cstheme="minorHAnsi"/>
              </w:rPr>
              <w:t xml:space="preserve"> </w:t>
            </w:r>
            <w:r w:rsidR="008B7CD8" w:rsidRPr="008B7CD8">
              <w:t>integrate and manage the new products and services.</w:t>
            </w:r>
          </w:p>
          <w:p w14:paraId="2A456791" w14:textId="09F2CE7C" w:rsidR="00F4452D" w:rsidRPr="008B7CD8" w:rsidRDefault="00F4452D" w:rsidP="008B7CD8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B7CD8">
              <w:rPr>
                <w:rStyle w:val="normaltextrun"/>
                <w:rFonts w:ascii="Calibri" w:hAnsi="Calibri" w:cs="Calibri"/>
                <w:sz w:val="22"/>
                <w:szCs w:val="22"/>
              </w:rPr>
              <w:t>Provid</w:t>
            </w:r>
            <w:r w:rsidR="00695A3D">
              <w:rPr>
                <w:rStyle w:val="normaltextrun"/>
                <w:rFonts w:ascii="Calibri" w:hAnsi="Calibri" w:cs="Calibri"/>
                <w:sz w:val="22"/>
                <w:szCs w:val="22"/>
              </w:rPr>
              <w:t>e</w:t>
            </w:r>
            <w:r w:rsidRPr="008B7CD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subject matter expertise about NewAccess to new Account Advisors</w:t>
            </w:r>
            <w:r w:rsidR="00F0353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, </w:t>
            </w:r>
            <w:r w:rsidR="00BC1370" w:rsidRPr="008B7CD8">
              <w:rPr>
                <w:rStyle w:val="normaltextrun"/>
                <w:rFonts w:ascii="Calibri" w:hAnsi="Calibri" w:cs="Calibri"/>
                <w:sz w:val="22"/>
                <w:szCs w:val="22"/>
              </w:rPr>
              <w:t>other Beyond Blue staff</w:t>
            </w:r>
            <w:r w:rsidR="00F0353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service delivery partners and other key stakeholders</w:t>
            </w:r>
            <w:r w:rsidR="00BC1370" w:rsidRPr="008B7CD8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 w:rsidRPr="008B7CD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209BB42" w14:textId="4561B9B2" w:rsidR="00F4452D" w:rsidRPr="00695A3D" w:rsidRDefault="00F4452D" w:rsidP="00141C03">
            <w:pPr>
              <w:pStyle w:val="Bullets"/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Coordinate regular tasks for the smooth operational rhythm of 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NewAccess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products and services using </w:t>
            </w:r>
            <w:r w:rsidR="0001798A">
              <w:rPr>
                <w:rStyle w:val="normaltextrun"/>
                <w:rFonts w:ascii="Calibri" w:hAnsi="Calibri" w:cs="Calibri"/>
              </w:rPr>
              <w:t>A</w:t>
            </w:r>
            <w:r>
              <w:rPr>
                <w:rStyle w:val="normaltextrun"/>
                <w:rFonts w:ascii="Calibri" w:hAnsi="Calibri" w:cs="Calibri"/>
              </w:rPr>
              <w:t xml:space="preserve">gile ways of </w:t>
            </w:r>
            <w:r w:rsidR="005D7093">
              <w:rPr>
                <w:rStyle w:val="normaltextrun"/>
                <w:rFonts w:ascii="Calibri" w:hAnsi="Calibri" w:cs="Calibri"/>
              </w:rPr>
              <w:t xml:space="preserve">working, </w:t>
            </w:r>
            <w:r w:rsidR="0096565C">
              <w:rPr>
                <w:rStyle w:val="normaltextrun"/>
                <w:rFonts w:ascii="Calibri" w:hAnsi="Calibri" w:cs="Calibri"/>
              </w:rPr>
              <w:t>processes,</w:t>
            </w:r>
            <w:r w:rsidR="005D7093">
              <w:rPr>
                <w:rStyle w:val="normaltextrun"/>
                <w:rFonts w:ascii="Calibri" w:hAnsi="Calibri" w:cs="Calibri"/>
              </w:rPr>
              <w:t xml:space="preserve"> and tools</w:t>
            </w:r>
            <w:r>
              <w:rPr>
                <w:rStyle w:val="normaltextrun"/>
                <w:rFonts w:ascii="Calibri" w:hAnsi="Calibri" w:cs="Calibri"/>
              </w:rPr>
              <w:t>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8DC8A8B" w14:textId="6494B62F" w:rsidR="00695A3D" w:rsidRPr="00117A93" w:rsidRDefault="00695A3D" w:rsidP="00141C03">
            <w:pPr>
              <w:pStyle w:val="Bullets"/>
              <w:rPr>
                <w:rStyle w:val="eop"/>
              </w:rPr>
            </w:pPr>
            <w:r w:rsidRPr="00695A3D">
              <w:rPr>
                <w:rStyle w:val="eop"/>
              </w:rPr>
              <w:t xml:space="preserve">Participate in project squads to </w:t>
            </w:r>
            <w:r>
              <w:rPr>
                <w:rStyle w:val="eop"/>
              </w:rPr>
              <w:t xml:space="preserve">lead or </w:t>
            </w:r>
            <w:r w:rsidRPr="00695A3D">
              <w:rPr>
                <w:rStyle w:val="eop"/>
              </w:rPr>
              <w:t xml:space="preserve">assist to implement continuous improvement initiatives prioritised by </w:t>
            </w:r>
            <w:r w:rsidR="00B06487">
              <w:rPr>
                <w:rStyle w:val="eop"/>
              </w:rPr>
              <w:t xml:space="preserve">the </w:t>
            </w:r>
            <w:r w:rsidR="00536B9E">
              <w:rPr>
                <w:rStyle w:val="eop"/>
              </w:rPr>
              <w:t xml:space="preserve">operations team, </w:t>
            </w:r>
            <w:r w:rsidRPr="00695A3D">
              <w:rPr>
                <w:rStyle w:val="eop"/>
              </w:rPr>
              <w:t>product manage</w:t>
            </w:r>
            <w:r w:rsidR="00536B9E">
              <w:rPr>
                <w:rStyle w:val="eop"/>
              </w:rPr>
              <w:t xml:space="preserve">r </w:t>
            </w:r>
            <w:r w:rsidRPr="00695A3D">
              <w:rPr>
                <w:rStyle w:val="eop"/>
              </w:rPr>
              <w:t xml:space="preserve">or </w:t>
            </w:r>
            <w:r w:rsidR="00536B9E">
              <w:rPr>
                <w:rStyle w:val="eop"/>
              </w:rPr>
              <w:t xml:space="preserve">other </w:t>
            </w:r>
            <w:r w:rsidRPr="00695A3D">
              <w:rPr>
                <w:rStyle w:val="eop"/>
              </w:rPr>
              <w:t>delivery portfolios</w:t>
            </w:r>
            <w:r w:rsidR="00536B9E">
              <w:rPr>
                <w:rStyle w:val="eop"/>
              </w:rPr>
              <w:t>.</w:t>
            </w:r>
          </w:p>
          <w:p w14:paraId="67F4EA51" w14:textId="24F94F32" w:rsidR="00117A93" w:rsidRPr="006D4B40" w:rsidRDefault="006E1904" w:rsidP="00117A93">
            <w:pPr>
              <w:pStyle w:val="Tableheading"/>
              <w:rPr>
                <w:rStyle w:val="eop"/>
              </w:rPr>
            </w:pPr>
            <w:r>
              <w:rPr>
                <w:rStyle w:val="eop"/>
              </w:rPr>
              <w:t xml:space="preserve">Site Performance </w:t>
            </w:r>
          </w:p>
          <w:p w14:paraId="49A03F5A" w14:textId="782A2BE5" w:rsidR="006D4B40" w:rsidRDefault="006D4B40" w:rsidP="00141C03">
            <w:pPr>
              <w:pStyle w:val="Bullets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Provide operational guidance and oversight to allocated NewAccess </w:t>
            </w:r>
            <w:r w:rsidR="0001798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ites and monitor the performance of commissioners and service delivery </w:t>
            </w:r>
            <w:r w:rsidR="0096565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providers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1A1A1A"/>
                <w:shd w:val="clear" w:color="auto" w:fill="FFFFFF"/>
              </w:rPr>
              <w:t>ensuring NewAccess model of care is maintained</w:t>
            </w:r>
            <w:r w:rsidR="00957019">
              <w:rPr>
                <w:rStyle w:val="normaltextrun"/>
                <w:rFonts w:ascii="Calibri" w:hAnsi="Calibri" w:cs="Calibri"/>
                <w:color w:val="1A1A1A"/>
                <w:shd w:val="clear" w:color="auto" w:fill="FFFFFF"/>
              </w:rPr>
              <w:t>.</w:t>
            </w:r>
          </w:p>
          <w:p w14:paraId="1E9F5568" w14:textId="4A19340B" w:rsidR="002A6654" w:rsidRPr="002A6654" w:rsidRDefault="001B5996" w:rsidP="001B5996">
            <w:pPr>
              <w:pStyle w:val="Bullets"/>
              <w:rPr>
                <w:rStyle w:val="normaltextrun"/>
                <w:lang w:eastAsia="en-AU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Coordinate, provide secretariat support and/or lead governance and operational meetings for nominated NewAccess programs or sites with relevant commissioners and service delivery providers to monitor provider performance and model fidelity.</w:t>
            </w:r>
          </w:p>
          <w:p w14:paraId="40006399" w14:textId="5630D7BB" w:rsidR="008D4098" w:rsidRDefault="008D4098" w:rsidP="008D4098">
            <w:pPr>
              <w:pStyle w:val="Bullets"/>
            </w:pPr>
            <w:r>
              <w:rPr>
                <w:rStyle w:val="normaltextrun"/>
                <w:rFonts w:ascii="Calibri" w:hAnsi="Calibri" w:cs="Calibri"/>
              </w:rPr>
              <w:t xml:space="preserve">Monitor the effectiveness of referrals pathways </w:t>
            </w:r>
            <w:r w:rsidR="00B7704B">
              <w:rPr>
                <w:rStyle w:val="normaltextrun"/>
                <w:rFonts w:ascii="Calibri" w:hAnsi="Calibri" w:cs="Calibri"/>
              </w:rPr>
              <w:t>to</w:t>
            </w:r>
            <w:r>
              <w:rPr>
                <w:rStyle w:val="normaltextrun"/>
                <w:rFonts w:ascii="Calibri" w:hAnsi="Calibri" w:cs="Calibri"/>
              </w:rPr>
              <w:t xml:space="preserve"> s</w:t>
            </w:r>
            <w:r>
              <w:rPr>
                <w:rStyle w:val="normaltextrun"/>
              </w:rPr>
              <w:t>ervice</w:t>
            </w:r>
            <w:r>
              <w:rPr>
                <w:rStyle w:val="normaltextrun"/>
                <w:rFonts w:ascii="Calibri" w:hAnsi="Calibri" w:cs="Calibri"/>
              </w:rPr>
              <w:t xml:space="preserve"> providers and ensure localised p</w:t>
            </w:r>
            <w:r>
              <w:rPr>
                <w:rStyle w:val="normaltextrun"/>
              </w:rPr>
              <w:t xml:space="preserve">athway </w:t>
            </w:r>
            <w:r>
              <w:rPr>
                <w:rStyle w:val="normaltextrun"/>
                <w:rFonts w:ascii="Calibri" w:hAnsi="Calibri" w:cs="Calibri"/>
              </w:rPr>
              <w:t>information</w:t>
            </w:r>
            <w:r>
              <w:rPr>
                <w:rStyle w:val="normaltextrun"/>
              </w:rPr>
              <w:t xml:space="preserve"> and criteria is applied to </w:t>
            </w:r>
            <w:r w:rsidR="00E640FA">
              <w:rPr>
                <w:rStyle w:val="normaltextrun"/>
              </w:rPr>
              <w:t xml:space="preserve">delegated </w:t>
            </w:r>
            <w:r>
              <w:rPr>
                <w:rStyle w:val="normaltextrun"/>
              </w:rPr>
              <w:t>NewAccess products and services.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4FA1A60" w14:textId="50AE939A" w:rsidR="0004397D" w:rsidRDefault="0004397D" w:rsidP="0004397D">
            <w:pPr>
              <w:pStyle w:val="Bullets"/>
            </w:pPr>
            <w:r w:rsidRPr="4A1F0148">
              <w:rPr>
                <w:rStyle w:val="normaltextrun"/>
                <w:rFonts w:ascii="Calibri" w:hAnsi="Calibri" w:cs="Calibri"/>
              </w:rPr>
              <w:t>Support collaborative relationships between Low Intensity CBT training and supervision partners</w:t>
            </w:r>
            <w:r w:rsidR="3C221A9E" w:rsidRPr="4A1F0148">
              <w:rPr>
                <w:rStyle w:val="normaltextrun"/>
                <w:rFonts w:ascii="Calibri" w:hAnsi="Calibri" w:cs="Calibri"/>
              </w:rPr>
              <w:t xml:space="preserve"> with nominated service providers</w:t>
            </w:r>
            <w:r w:rsidRPr="4A1F0148">
              <w:rPr>
                <w:rStyle w:val="normaltextrun"/>
                <w:rFonts w:ascii="Calibri" w:hAnsi="Calibri" w:cs="Calibri"/>
              </w:rPr>
              <w:t>.</w:t>
            </w:r>
            <w:r w:rsidRPr="4A1F0148">
              <w:rPr>
                <w:rStyle w:val="eop"/>
                <w:rFonts w:ascii="Calibri" w:hAnsi="Calibri" w:cs="Calibri"/>
              </w:rPr>
              <w:t> </w:t>
            </w:r>
          </w:p>
          <w:p w14:paraId="08284EA2" w14:textId="47701D50" w:rsidR="002A1284" w:rsidRDefault="002A1284" w:rsidP="002A1284">
            <w:pPr>
              <w:pStyle w:val="Bullets"/>
            </w:pPr>
            <w:r w:rsidRPr="4A1F0148">
              <w:rPr>
                <w:rStyle w:val="normaltextrun"/>
                <w:rFonts w:ascii="Calibri" w:hAnsi="Calibri" w:cs="Calibri"/>
              </w:rPr>
              <w:t xml:space="preserve">Provide progress/status reports to the Operations Manager including preparing and communicating </w:t>
            </w:r>
            <w:r w:rsidR="27BD87DD" w:rsidRPr="4A1F0148">
              <w:rPr>
                <w:rStyle w:val="normaltextrun"/>
                <w:rFonts w:ascii="Calibri" w:hAnsi="Calibri" w:cs="Calibri"/>
              </w:rPr>
              <w:t xml:space="preserve">feedback </w:t>
            </w:r>
            <w:r w:rsidRPr="4A1F0148">
              <w:rPr>
                <w:rStyle w:val="normaltextrun"/>
                <w:rFonts w:ascii="Calibri" w:hAnsi="Calibri" w:cs="Calibri"/>
              </w:rPr>
              <w:t>to partners and stakeholders (internally and externally).</w:t>
            </w:r>
            <w:r w:rsidRPr="4A1F0148">
              <w:rPr>
                <w:rStyle w:val="eop"/>
                <w:rFonts w:ascii="Calibri" w:hAnsi="Calibri" w:cs="Calibri"/>
              </w:rPr>
              <w:t> </w:t>
            </w:r>
          </w:p>
          <w:p w14:paraId="063C5110" w14:textId="295179C0" w:rsidR="00141C03" w:rsidRDefault="00141C03" w:rsidP="00141C03">
            <w:pPr>
              <w:pStyle w:val="Bullets"/>
            </w:pPr>
            <w:r w:rsidRPr="385D8578">
              <w:rPr>
                <w:rStyle w:val="normaltextrun"/>
                <w:rFonts w:ascii="Calibri" w:hAnsi="Calibri" w:cs="Calibri"/>
              </w:rPr>
              <w:t>Support NewAccess commissioner</w:t>
            </w:r>
            <w:r w:rsidR="6258F8A1" w:rsidRPr="385D8578">
              <w:rPr>
                <w:rStyle w:val="normaltextrun"/>
                <w:rFonts w:ascii="Calibri" w:hAnsi="Calibri" w:cs="Calibri"/>
              </w:rPr>
              <w:t>s</w:t>
            </w:r>
            <w:r w:rsidRPr="385D8578">
              <w:rPr>
                <w:rStyle w:val="normaltextrun"/>
                <w:rFonts w:ascii="Calibri" w:hAnsi="Calibri" w:cs="Calibri"/>
              </w:rPr>
              <w:t xml:space="preserve"> and service provider</w:t>
            </w:r>
            <w:r w:rsidR="2126DF6C" w:rsidRPr="385D8578">
              <w:rPr>
                <w:rStyle w:val="normaltextrun"/>
                <w:rFonts w:ascii="Calibri" w:hAnsi="Calibri" w:cs="Calibri"/>
              </w:rPr>
              <w:t>s</w:t>
            </w:r>
            <w:r w:rsidRPr="385D8578">
              <w:rPr>
                <w:rStyle w:val="normaltextrun"/>
                <w:rFonts w:ascii="Calibri" w:hAnsi="Calibri" w:cs="Calibri"/>
              </w:rPr>
              <w:t xml:space="preserve"> </w:t>
            </w:r>
            <w:r w:rsidR="23EA1AB4" w:rsidRPr="385D8578">
              <w:rPr>
                <w:rStyle w:val="normaltextrun"/>
                <w:rFonts w:ascii="Calibri" w:hAnsi="Calibri" w:cs="Calibri"/>
              </w:rPr>
              <w:t xml:space="preserve">to </w:t>
            </w:r>
            <w:r w:rsidRPr="385D8578">
              <w:rPr>
                <w:rStyle w:val="normaltextrun"/>
                <w:rFonts w:ascii="Calibri" w:hAnsi="Calibri" w:cs="Calibri"/>
              </w:rPr>
              <w:t>compl</w:t>
            </w:r>
            <w:r w:rsidR="0D2863BD" w:rsidRPr="385D8578">
              <w:rPr>
                <w:rStyle w:val="normaltextrun"/>
                <w:rFonts w:ascii="Calibri" w:hAnsi="Calibri" w:cs="Calibri"/>
              </w:rPr>
              <w:t>y</w:t>
            </w:r>
            <w:r w:rsidRPr="385D8578">
              <w:rPr>
                <w:rStyle w:val="normaltextrun"/>
                <w:rFonts w:ascii="Calibri" w:hAnsi="Calibri" w:cs="Calibri"/>
              </w:rPr>
              <w:t xml:space="preserve"> with Beyond Blue's policy, procedures and processes related to clinical governance, risk, and incident management.</w:t>
            </w:r>
            <w:r w:rsidRPr="385D8578">
              <w:rPr>
                <w:rStyle w:val="eop"/>
                <w:rFonts w:ascii="Calibri" w:hAnsi="Calibri" w:cs="Calibri"/>
              </w:rPr>
              <w:t> </w:t>
            </w:r>
          </w:p>
          <w:p w14:paraId="52FE932D" w14:textId="77777777" w:rsidR="00141C03" w:rsidRDefault="00141C03" w:rsidP="00141C03">
            <w:pPr>
              <w:pStyle w:val="Bullets"/>
            </w:pPr>
            <w:r>
              <w:rPr>
                <w:rStyle w:val="normaltextrun"/>
                <w:rFonts w:ascii="Calibri" w:hAnsi="Calibri" w:cs="Calibri"/>
              </w:rPr>
              <w:t>Support NewAccess commissioners and service providers to align with Beyond Blue’s data governance, integration, validation and quality management policy, procedures, and processes.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B610050" w14:textId="485FE5B2" w:rsidR="00141C03" w:rsidRDefault="00141C03" w:rsidP="00141C03">
            <w:pPr>
              <w:pStyle w:val="Bullets"/>
            </w:pPr>
            <w:r>
              <w:rPr>
                <w:rStyle w:val="normaltextrun"/>
                <w:rFonts w:ascii="Calibri" w:hAnsi="Calibri" w:cs="Calibri"/>
              </w:rPr>
              <w:t xml:space="preserve">Support data ingestion from service providers and the development </w:t>
            </w:r>
            <w:r w:rsidR="00AE3601">
              <w:rPr>
                <w:rStyle w:val="normaltextrun"/>
                <w:rFonts w:ascii="Calibri" w:hAnsi="Calibri" w:cs="Calibri"/>
              </w:rPr>
              <w:t>of</w:t>
            </w:r>
            <w:r>
              <w:rPr>
                <w:rStyle w:val="normaltextrun"/>
                <w:rFonts w:ascii="Calibri" w:hAnsi="Calibri" w:cs="Calibri"/>
              </w:rPr>
              <w:t xml:space="preserve"> program insights and updates via regular reporting schedules.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118687A" w14:textId="4F5A3C31" w:rsidR="002C43A3" w:rsidRDefault="002C43A3" w:rsidP="002C43A3">
            <w:pPr>
              <w:pStyle w:val="Bullets"/>
            </w:pPr>
            <w:r w:rsidRPr="4A1F0148">
              <w:rPr>
                <w:rStyle w:val="normaltextrun"/>
                <w:rFonts w:ascii="Calibri" w:hAnsi="Calibri" w:cs="Calibri"/>
              </w:rPr>
              <w:t>Assist to coordinate and provide logistical support at network opportunities and forums for commissioners, service delivery providers and coaches.</w:t>
            </w:r>
            <w:r w:rsidRPr="4A1F0148">
              <w:rPr>
                <w:rStyle w:val="eop"/>
                <w:rFonts w:ascii="Calibri" w:hAnsi="Calibri" w:cs="Calibri"/>
              </w:rPr>
              <w:t> </w:t>
            </w:r>
          </w:p>
          <w:p w14:paraId="21CA3641" w14:textId="5E452A2F" w:rsidR="00141C03" w:rsidRDefault="00141C03" w:rsidP="00536B9E">
            <w:pPr>
              <w:pStyle w:val="Bullets"/>
            </w:pPr>
            <w:r>
              <w:rPr>
                <w:rStyle w:val="normaltextrun"/>
                <w:rFonts w:ascii="Calibri" w:hAnsi="Calibri" w:cs="Calibri"/>
              </w:rPr>
              <w:t>Contribute qualitative and quantitative data to inform NewAccess planning and reporting schedules and the broader Beyond Blue reporting cycle.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7347D0F" w14:textId="0441A07C" w:rsidR="00C841C6" w:rsidRDefault="00930CBD" w:rsidP="00C841C6">
            <w:pPr>
              <w:pStyle w:val="Tableheading"/>
            </w:pPr>
            <w:r>
              <w:t xml:space="preserve">Service Performance </w:t>
            </w:r>
          </w:p>
          <w:p w14:paraId="4418BB4E" w14:textId="5621DD17" w:rsidR="001F266B" w:rsidRDefault="00C73228" w:rsidP="001F266B">
            <w:r>
              <w:t>R</w:t>
            </w:r>
            <w:r w:rsidR="001F266B">
              <w:t>eport the effectiveness</w:t>
            </w:r>
            <w:r w:rsidR="00117011">
              <w:t xml:space="preserve"> of referral strategies </w:t>
            </w:r>
            <w:r w:rsidR="00D32A49">
              <w:t xml:space="preserve">and tactics </w:t>
            </w:r>
            <w:r w:rsidR="000719A0">
              <w:rPr>
                <w:lang w:eastAsia="en-AU"/>
              </w:rPr>
              <w:t>that</w:t>
            </w:r>
            <w:r w:rsidR="002B3354" w:rsidRPr="00BC7753">
              <w:rPr>
                <w:lang w:eastAsia="en-AU"/>
              </w:rPr>
              <w:t xml:space="preserve"> build awareness</w:t>
            </w:r>
            <w:r w:rsidR="009745EB">
              <w:rPr>
                <w:lang w:eastAsia="en-AU"/>
              </w:rPr>
              <w:t xml:space="preserve"> and </w:t>
            </w:r>
            <w:r w:rsidR="002B3354" w:rsidRPr="00BC7753">
              <w:rPr>
                <w:lang w:eastAsia="en-AU"/>
              </w:rPr>
              <w:t xml:space="preserve">educate communities </w:t>
            </w:r>
            <w:r w:rsidR="00C70603">
              <w:rPr>
                <w:lang w:eastAsia="en-AU"/>
              </w:rPr>
              <w:t>to</w:t>
            </w:r>
            <w:r w:rsidR="002B3354" w:rsidRPr="00BC7753">
              <w:rPr>
                <w:lang w:eastAsia="en-AU"/>
              </w:rPr>
              <w:t xml:space="preserve"> drive enquiries </w:t>
            </w:r>
            <w:r w:rsidR="002B3354">
              <w:rPr>
                <w:lang w:eastAsia="en-AU"/>
              </w:rPr>
              <w:t>and referrals</w:t>
            </w:r>
            <w:r w:rsidR="000719A0">
              <w:rPr>
                <w:lang w:eastAsia="en-AU"/>
              </w:rPr>
              <w:t xml:space="preserve"> to NewAccess</w:t>
            </w:r>
            <w:r w:rsidR="008C792F">
              <w:rPr>
                <w:lang w:eastAsia="en-AU"/>
              </w:rPr>
              <w:t xml:space="preserve"> by</w:t>
            </w:r>
            <w:r w:rsidR="00D406E8">
              <w:rPr>
                <w:lang w:eastAsia="en-AU"/>
              </w:rPr>
              <w:t xml:space="preserve"> monitoring</w:t>
            </w:r>
            <w:r w:rsidR="00117011">
              <w:t>:</w:t>
            </w:r>
          </w:p>
          <w:p w14:paraId="7D3752D8" w14:textId="4177C1D8" w:rsidR="00930CBD" w:rsidRPr="00BC7753" w:rsidRDefault="00CB23FD" w:rsidP="00930CBD">
            <w:pPr>
              <w:pStyle w:val="Bullets"/>
              <w:rPr>
                <w:lang w:eastAsia="en-AU"/>
              </w:rPr>
            </w:pPr>
            <w:r>
              <w:rPr>
                <w:lang w:eastAsia="en-AU"/>
              </w:rPr>
              <w:t>L</w:t>
            </w:r>
            <w:r w:rsidR="00930CBD" w:rsidRPr="00BC7753">
              <w:rPr>
                <w:lang w:eastAsia="en-AU"/>
              </w:rPr>
              <w:t xml:space="preserve">ocalised marketing strategies </w:t>
            </w:r>
            <w:r w:rsidR="00D406E8">
              <w:rPr>
                <w:lang w:eastAsia="en-AU"/>
              </w:rPr>
              <w:t>for</w:t>
            </w:r>
            <w:r w:rsidR="002B3354">
              <w:rPr>
                <w:lang w:eastAsia="en-AU"/>
              </w:rPr>
              <w:t xml:space="preserve"> delegated</w:t>
            </w:r>
            <w:r w:rsidR="002B3354" w:rsidRPr="00BC7753">
              <w:rPr>
                <w:lang w:eastAsia="en-AU"/>
              </w:rPr>
              <w:t xml:space="preserve"> NewAccess</w:t>
            </w:r>
            <w:r w:rsidR="00600D08">
              <w:rPr>
                <w:lang w:eastAsia="en-AU"/>
              </w:rPr>
              <w:t xml:space="preserve"> sites.</w:t>
            </w:r>
            <w:r w:rsidR="002B3354" w:rsidRPr="00BC7753">
              <w:rPr>
                <w:lang w:eastAsia="en-AU"/>
              </w:rPr>
              <w:t xml:space="preserve"> </w:t>
            </w:r>
          </w:p>
          <w:p w14:paraId="4E722A52" w14:textId="7683FF52" w:rsidR="00930CBD" w:rsidRDefault="00CB23FD" w:rsidP="00930CBD">
            <w:pPr>
              <w:pStyle w:val="Bullets"/>
              <w:rPr>
                <w:lang w:eastAsia="en-AU"/>
              </w:rPr>
            </w:pPr>
            <w:r w:rsidRPr="411AFAF6">
              <w:rPr>
                <w:lang w:eastAsia="en-AU"/>
              </w:rPr>
              <w:t>L</w:t>
            </w:r>
            <w:r w:rsidR="00930CBD" w:rsidRPr="411AFAF6">
              <w:rPr>
                <w:lang w:eastAsia="en-AU"/>
              </w:rPr>
              <w:t xml:space="preserve">ocalised community engagement </w:t>
            </w:r>
            <w:r w:rsidR="00D406E8" w:rsidRPr="411AFAF6">
              <w:rPr>
                <w:lang w:eastAsia="en-AU"/>
              </w:rPr>
              <w:t>activities for</w:t>
            </w:r>
            <w:r w:rsidR="008C792F" w:rsidRPr="411AFAF6">
              <w:rPr>
                <w:lang w:eastAsia="en-AU"/>
              </w:rPr>
              <w:t xml:space="preserve"> dele</w:t>
            </w:r>
            <w:r w:rsidR="6065250E" w:rsidRPr="411AFAF6">
              <w:rPr>
                <w:lang w:eastAsia="en-AU"/>
              </w:rPr>
              <w:t>gat</w:t>
            </w:r>
            <w:r w:rsidR="008C792F" w:rsidRPr="411AFAF6">
              <w:rPr>
                <w:lang w:eastAsia="en-AU"/>
              </w:rPr>
              <w:t xml:space="preserve">ed </w:t>
            </w:r>
            <w:r w:rsidR="00600D08" w:rsidRPr="411AFAF6">
              <w:rPr>
                <w:lang w:eastAsia="en-AU"/>
              </w:rPr>
              <w:t>NewAccess Sites</w:t>
            </w:r>
            <w:r w:rsidR="00930CBD" w:rsidRPr="411AFAF6">
              <w:rPr>
                <w:lang w:eastAsia="en-AU"/>
              </w:rPr>
              <w:t>.</w:t>
            </w:r>
          </w:p>
          <w:p w14:paraId="0CCE5D64" w14:textId="591629D3" w:rsidR="00930CBD" w:rsidRDefault="000D6C0D" w:rsidP="00930CBD">
            <w:pPr>
              <w:pStyle w:val="Bullets"/>
            </w:pPr>
            <w:r>
              <w:rPr>
                <w:rStyle w:val="normaltextrun"/>
                <w:rFonts w:ascii="Calibri" w:hAnsi="Calibri" w:cs="Calibri"/>
              </w:rPr>
              <w:lastRenderedPageBreak/>
              <w:t>The a</w:t>
            </w:r>
            <w:r w:rsidR="00D406E8">
              <w:rPr>
                <w:rStyle w:val="normaltextrun"/>
                <w:rFonts w:ascii="Calibri" w:hAnsi="Calibri" w:cs="Calibri"/>
              </w:rPr>
              <w:t xml:space="preserve">pplication </w:t>
            </w:r>
            <w:r>
              <w:rPr>
                <w:rStyle w:val="normaltextrun"/>
                <w:rFonts w:ascii="Calibri" w:hAnsi="Calibri" w:cs="Calibri"/>
              </w:rPr>
              <w:t xml:space="preserve">and adherence </w:t>
            </w:r>
            <w:r w:rsidR="00D406E8">
              <w:rPr>
                <w:rStyle w:val="normaltextrun"/>
                <w:rFonts w:ascii="Calibri" w:hAnsi="Calibri" w:cs="Calibri"/>
              </w:rPr>
              <w:t xml:space="preserve">of </w:t>
            </w:r>
            <w:r w:rsidR="00600D08">
              <w:rPr>
                <w:rStyle w:val="normaltextrun"/>
                <w:rFonts w:ascii="Calibri" w:hAnsi="Calibri" w:cs="Calibri"/>
              </w:rPr>
              <w:t>localised p</w:t>
            </w:r>
            <w:r w:rsidR="00600D08">
              <w:rPr>
                <w:rStyle w:val="normaltextrun"/>
              </w:rPr>
              <w:t xml:space="preserve">athway </w:t>
            </w:r>
            <w:r w:rsidR="00600D08">
              <w:rPr>
                <w:rStyle w:val="normaltextrun"/>
                <w:rFonts w:ascii="Calibri" w:hAnsi="Calibri" w:cs="Calibri"/>
              </w:rPr>
              <w:t>information</w:t>
            </w:r>
            <w:r w:rsidR="00600D08">
              <w:rPr>
                <w:rStyle w:val="normaltextrun"/>
              </w:rPr>
              <w:t xml:space="preserve"> and </w:t>
            </w:r>
            <w:r w:rsidR="00DD0C22">
              <w:rPr>
                <w:rStyle w:val="normaltextrun"/>
              </w:rPr>
              <w:t xml:space="preserve">eligibility </w:t>
            </w:r>
            <w:r w:rsidR="00600D08">
              <w:rPr>
                <w:rStyle w:val="normaltextrun"/>
              </w:rPr>
              <w:t xml:space="preserve">criteria </w:t>
            </w:r>
            <w:r>
              <w:rPr>
                <w:rStyle w:val="normaltextrun"/>
              </w:rPr>
              <w:t>for delegated</w:t>
            </w:r>
            <w:r w:rsidR="00600D08">
              <w:rPr>
                <w:rStyle w:val="normaltextrun"/>
              </w:rPr>
              <w:t xml:space="preserve"> NewAccess sites</w:t>
            </w:r>
            <w:r>
              <w:rPr>
                <w:rStyle w:val="normaltextrun"/>
              </w:rPr>
              <w:t>.</w:t>
            </w:r>
            <w:r w:rsidR="00600D08">
              <w:rPr>
                <w:rStyle w:val="normaltextrun"/>
              </w:rPr>
              <w:t xml:space="preserve"> </w:t>
            </w:r>
          </w:p>
          <w:p w14:paraId="63E17162" w14:textId="0FE362FB" w:rsidR="00930CBD" w:rsidRDefault="000D6C0D" w:rsidP="00930CBD">
            <w:pPr>
              <w:pStyle w:val="Bullets"/>
              <w:rPr>
                <w:lang w:eastAsia="en-AU"/>
              </w:rPr>
            </w:pPr>
            <w:r>
              <w:rPr>
                <w:lang w:eastAsia="en-AU"/>
              </w:rPr>
              <w:t>The e</w:t>
            </w:r>
            <w:r w:rsidR="00D406E8">
              <w:rPr>
                <w:lang w:eastAsia="en-AU"/>
              </w:rPr>
              <w:t xml:space="preserve">ffectiveness of </w:t>
            </w:r>
            <w:r w:rsidR="00083100">
              <w:rPr>
                <w:lang w:eastAsia="en-AU"/>
              </w:rPr>
              <w:t xml:space="preserve">referral </w:t>
            </w:r>
            <w:r w:rsidR="00D406E8">
              <w:rPr>
                <w:lang w:eastAsia="en-AU"/>
              </w:rPr>
              <w:t>pathways</w:t>
            </w:r>
            <w:r w:rsidR="00930CBD">
              <w:rPr>
                <w:lang w:eastAsia="en-AU"/>
              </w:rPr>
              <w:t xml:space="preserve"> </w:t>
            </w:r>
            <w:r w:rsidR="00083100">
              <w:rPr>
                <w:lang w:eastAsia="en-AU"/>
              </w:rPr>
              <w:t xml:space="preserve">to delegated </w:t>
            </w:r>
            <w:r w:rsidR="00C73228">
              <w:rPr>
                <w:lang w:eastAsia="en-AU"/>
              </w:rPr>
              <w:t xml:space="preserve">NewAccess </w:t>
            </w:r>
            <w:r w:rsidR="00083100">
              <w:rPr>
                <w:lang w:eastAsia="en-AU"/>
              </w:rPr>
              <w:t xml:space="preserve">sites via </w:t>
            </w:r>
            <w:r w:rsidR="00930CBD">
              <w:rPr>
                <w:lang w:eastAsia="en-AU"/>
              </w:rPr>
              <w:t xml:space="preserve">Beyond Blue’s Community </w:t>
            </w:r>
            <w:r w:rsidR="00083100">
              <w:rPr>
                <w:lang w:eastAsia="en-AU"/>
              </w:rPr>
              <w:t>S</w:t>
            </w:r>
            <w:r w:rsidR="00930CBD">
              <w:rPr>
                <w:lang w:eastAsia="en-AU"/>
              </w:rPr>
              <w:t>upport products and services</w:t>
            </w:r>
            <w:r w:rsidR="00083100">
              <w:rPr>
                <w:lang w:eastAsia="en-AU"/>
              </w:rPr>
              <w:t>, and website</w:t>
            </w:r>
            <w:r w:rsidR="00B90AAB">
              <w:rPr>
                <w:lang w:eastAsia="en-AU"/>
              </w:rPr>
              <w:t>.</w:t>
            </w:r>
          </w:p>
          <w:p w14:paraId="3A838971" w14:textId="5E0BB9E8" w:rsidR="00930CBD" w:rsidRDefault="00C73228" w:rsidP="00930CBD">
            <w:pPr>
              <w:pStyle w:val="Bullets"/>
              <w:rPr>
                <w:lang w:eastAsia="en-AU"/>
              </w:rPr>
            </w:pPr>
            <w:r>
              <w:rPr>
                <w:lang w:eastAsia="en-AU"/>
              </w:rPr>
              <w:t>Other s</w:t>
            </w:r>
            <w:r w:rsidR="002411A1">
              <w:rPr>
                <w:lang w:eastAsia="en-AU"/>
              </w:rPr>
              <w:t>ite data</w:t>
            </w:r>
            <w:r w:rsidR="00930CBD" w:rsidRPr="0089061B">
              <w:rPr>
                <w:lang w:eastAsia="en-AU"/>
              </w:rPr>
              <w:t>, service delivery information</w:t>
            </w:r>
            <w:r w:rsidR="00930CBD">
              <w:rPr>
                <w:lang w:eastAsia="en-AU"/>
              </w:rPr>
              <w:t xml:space="preserve"> and </w:t>
            </w:r>
            <w:r w:rsidR="00930CBD" w:rsidRPr="0089061B">
              <w:rPr>
                <w:lang w:eastAsia="en-AU"/>
              </w:rPr>
              <w:t>operational insights</w:t>
            </w:r>
            <w:r w:rsidR="00930CBD">
              <w:rPr>
                <w:lang w:eastAsia="en-AU"/>
              </w:rPr>
              <w:t xml:space="preserve"> </w:t>
            </w:r>
            <w:r w:rsidR="002411A1">
              <w:rPr>
                <w:lang w:eastAsia="en-AU"/>
              </w:rPr>
              <w:t>regarding</w:t>
            </w:r>
            <w:r w:rsidR="00930CBD" w:rsidRPr="0089061B">
              <w:rPr>
                <w:lang w:eastAsia="en-AU"/>
              </w:rPr>
              <w:t xml:space="preserve"> </w:t>
            </w:r>
            <w:r w:rsidR="002411A1">
              <w:rPr>
                <w:lang w:eastAsia="en-AU"/>
              </w:rPr>
              <w:t xml:space="preserve">the </w:t>
            </w:r>
            <w:r w:rsidR="00930CBD" w:rsidRPr="0089061B">
              <w:rPr>
                <w:lang w:eastAsia="en-AU"/>
              </w:rPr>
              <w:t xml:space="preserve">model of care, service performance, and client outcomes and experience. </w:t>
            </w:r>
          </w:p>
          <w:p w14:paraId="70506BA1" w14:textId="1FD59D9D" w:rsidR="00C841C6" w:rsidRDefault="00F17143" w:rsidP="00C841C6">
            <w:pPr>
              <w:pStyle w:val="Tableheading"/>
            </w:pPr>
            <w:r>
              <w:t>Community connection</w:t>
            </w:r>
          </w:p>
          <w:p w14:paraId="51D70022" w14:textId="23E867E1" w:rsidR="00B32A45" w:rsidRDefault="00E01BB5" w:rsidP="00141C03">
            <w:pPr>
              <w:pStyle w:val="Bullets"/>
            </w:pPr>
            <w:r>
              <w:t>S</w:t>
            </w:r>
            <w:r w:rsidR="004824C9" w:rsidRPr="004824C9">
              <w:t xml:space="preserve">hare relevant information and subject matter expertise about NewAccess relating to Beyond Blue's strategic direction, </w:t>
            </w:r>
            <w:proofErr w:type="gramStart"/>
            <w:r w:rsidR="004824C9" w:rsidRPr="004824C9">
              <w:t>advocacy</w:t>
            </w:r>
            <w:proofErr w:type="gramEnd"/>
            <w:r w:rsidR="004824C9" w:rsidRPr="004824C9">
              <w:t xml:space="preserve"> and policy plans.</w:t>
            </w:r>
          </w:p>
          <w:p w14:paraId="6029D3F0" w14:textId="4B6E2CCD" w:rsidR="001C5F9E" w:rsidRDefault="001C5F9E" w:rsidP="00B32A45">
            <w:pPr>
              <w:pStyle w:val="Bullets"/>
              <w:numPr>
                <w:ilvl w:val="0"/>
                <w:numId w:val="0"/>
              </w:numPr>
              <w:ind w:left="360" w:hanging="360"/>
            </w:pPr>
          </w:p>
        </w:tc>
      </w:tr>
      <w:tr w:rsidR="00821286" w14:paraId="7260A7CE" w14:textId="77777777" w:rsidTr="411AFAF6">
        <w:trPr>
          <w:trHeight w:val="569"/>
        </w:trPr>
        <w:tc>
          <w:tcPr>
            <w:tcW w:w="9491" w:type="dxa"/>
            <w:gridSpan w:val="2"/>
            <w:shd w:val="clear" w:color="auto" w:fill="E5F1FE" w:themeFill="accent5"/>
            <w:vAlign w:val="center"/>
          </w:tcPr>
          <w:p w14:paraId="5F0C352B" w14:textId="0D2B7090" w:rsidR="00821286" w:rsidRDefault="425A4FEE" w:rsidP="00821286">
            <w:pPr>
              <w:pStyle w:val="Tableheading"/>
              <w:numPr>
                <w:ilvl w:val="0"/>
                <w:numId w:val="31"/>
              </w:numPr>
              <w:ind w:left="447" w:hanging="501"/>
            </w:pPr>
            <w:r>
              <w:lastRenderedPageBreak/>
              <w:t xml:space="preserve">Key </w:t>
            </w:r>
            <w:r w:rsidR="1CEC5E23">
              <w:t xml:space="preserve">outcomes, </w:t>
            </w:r>
            <w:r w:rsidR="15E2288E">
              <w:t xml:space="preserve">or desired impact of role, </w:t>
            </w:r>
            <w:r w:rsidR="5DD749D2">
              <w:t>linked</w:t>
            </w:r>
            <w:r w:rsidR="1CEC5E23">
              <w:t xml:space="preserve"> to </w:t>
            </w:r>
            <w:r w:rsidR="0FB574CC">
              <w:t>s</w:t>
            </w:r>
            <w:r w:rsidR="1CEC5E23">
              <w:t>trategy</w:t>
            </w:r>
          </w:p>
        </w:tc>
      </w:tr>
      <w:tr w:rsidR="00821286" w14:paraId="3FC4EDB1" w14:textId="77777777" w:rsidTr="411AFAF6">
        <w:trPr>
          <w:trHeight w:val="231"/>
        </w:trPr>
        <w:tc>
          <w:tcPr>
            <w:tcW w:w="9491" w:type="dxa"/>
            <w:gridSpan w:val="2"/>
            <w:tcBorders>
              <w:top w:val="single" w:sz="2" w:space="0" w:color="0070F1" w:themeColor="accent1"/>
            </w:tcBorders>
            <w:shd w:val="clear" w:color="auto" w:fill="auto"/>
          </w:tcPr>
          <w:p w14:paraId="2FF578D1" w14:textId="1C9399C4" w:rsidR="20996A8D" w:rsidRDefault="3D3EF68D" w:rsidP="12B15634">
            <w:pPr>
              <w:pStyle w:val="Tableheading"/>
            </w:pPr>
            <w:r>
              <w:t>Area of impact</w:t>
            </w:r>
          </w:p>
          <w:p w14:paraId="42355895" w14:textId="09DCB694" w:rsidR="00745F07" w:rsidRDefault="00745F07" w:rsidP="00745F07">
            <w:pPr>
              <w:pStyle w:val="Bullets"/>
              <w:numPr>
                <w:ilvl w:val="0"/>
                <w:numId w:val="38"/>
              </w:numPr>
            </w:pPr>
            <w:r>
              <w:t xml:space="preserve">Champion </w:t>
            </w:r>
            <w:r>
              <w:rPr>
                <w:i/>
                <w:iCs/>
              </w:rPr>
              <w:t>Strategy 2023+ Earlier, Easier, Together</w:t>
            </w:r>
            <w:r>
              <w:t xml:space="preserve"> and with the CEO</w:t>
            </w:r>
            <w:r w:rsidR="008D209C">
              <w:t xml:space="preserve">, </w:t>
            </w:r>
            <w:r>
              <w:t>Executive</w:t>
            </w:r>
            <w:r w:rsidR="009004EA">
              <w:t>,</w:t>
            </w:r>
            <w:r w:rsidR="008D209C">
              <w:t xml:space="preserve"> and other staff </w:t>
            </w:r>
            <w:r w:rsidR="00494FCD">
              <w:t xml:space="preserve">to </w:t>
            </w:r>
            <w:r w:rsidR="008D209C">
              <w:t>support</w:t>
            </w:r>
            <w:r w:rsidR="00012D97">
              <w:t xml:space="preserve"> </w:t>
            </w:r>
            <w:r>
              <w:t>the evolution of Beyond Blue’s culture, capabilities, and ways of working to achieve its strategic goals – identifying priorities, ensuring alignment and accountability, focusing on effective implementation and outcomes, and simplifying complexity to enable action.</w:t>
            </w:r>
          </w:p>
          <w:p w14:paraId="1394321C" w14:textId="77777777" w:rsidR="00745F07" w:rsidRDefault="00745F07" w:rsidP="00745F07">
            <w:pPr>
              <w:pStyle w:val="Bullets"/>
              <w:numPr>
                <w:ilvl w:val="0"/>
                <w:numId w:val="38"/>
              </w:numPr>
            </w:pPr>
            <w:r>
              <w:t xml:space="preserve">Deliver and evolve </w:t>
            </w:r>
            <w:r>
              <w:rPr>
                <w:lang w:val="en-GB"/>
              </w:rPr>
              <w:t xml:space="preserve">accessible, personalised, safe and connected </w:t>
            </w:r>
            <w:r>
              <w:t xml:space="preserve">earlier intervention and recovery focused mental health supports, </w:t>
            </w:r>
            <w:proofErr w:type="gramStart"/>
            <w:r>
              <w:t>services</w:t>
            </w:r>
            <w:proofErr w:type="gramEnd"/>
            <w:r>
              <w:t xml:space="preserve"> and programs to make it easier for people to feel better earlier, get well and stay well.</w:t>
            </w:r>
          </w:p>
          <w:p w14:paraId="09C576E2" w14:textId="77777777" w:rsidR="00745F07" w:rsidRDefault="00745F07" w:rsidP="00745F07">
            <w:pPr>
              <w:pStyle w:val="Bullets"/>
              <w:numPr>
                <w:ilvl w:val="0"/>
                <w:numId w:val="38"/>
              </w:numPr>
            </w:pPr>
            <w:r>
              <w:rPr>
                <w:lang w:val="en-GB"/>
              </w:rPr>
              <w:t>Innovate through new models of support and workforces.</w:t>
            </w:r>
          </w:p>
          <w:p w14:paraId="64565FF1" w14:textId="25BF32FF" w:rsidR="00745F07" w:rsidRDefault="00745F07" w:rsidP="0020582D">
            <w:pPr>
              <w:pStyle w:val="Bullets"/>
              <w:numPr>
                <w:ilvl w:val="0"/>
                <w:numId w:val="38"/>
              </w:numPr>
            </w:pPr>
            <w:r>
              <w:t xml:space="preserve">Foster positive and collaborative relationships with service funders, delivery partners, commissioning bodies, other mental health sector organisations, and service users to promote integration and improve mental health system outcomes.  </w:t>
            </w:r>
          </w:p>
          <w:p w14:paraId="60AB9284" w14:textId="77777777" w:rsidR="00745F07" w:rsidRDefault="00745F07" w:rsidP="00745F07">
            <w:pPr>
              <w:pStyle w:val="Bullets"/>
              <w:numPr>
                <w:ilvl w:val="0"/>
                <w:numId w:val="38"/>
              </w:numPr>
              <w:rPr>
                <w:rFonts w:eastAsiaTheme="minorEastAsia"/>
              </w:rPr>
            </w:pPr>
            <w:r>
              <w:t>Role model community centricity – putting community at the heart of leadership, strategy, relationships, operations, business development, and innovation.</w:t>
            </w:r>
          </w:p>
          <w:p w14:paraId="01128D57" w14:textId="2BB4E25B" w:rsidR="00821286" w:rsidRPr="001358E4" w:rsidRDefault="00162662" w:rsidP="690E20C5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690E20C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KPI’s/Goals are set in </w:t>
            </w:r>
            <w:r w:rsidR="006165B0" w:rsidRPr="690E20C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the performance review cycles</w:t>
            </w:r>
            <w:r w:rsidR="009509E7" w:rsidRPr="690E20C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– Jan</w:t>
            </w:r>
            <w:r w:rsidR="00A16E8B" w:rsidRPr="690E20C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uary</w:t>
            </w:r>
            <w:r w:rsidR="009509E7" w:rsidRPr="690E20C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to June / July to December</w:t>
            </w:r>
            <w:r w:rsidR="426049F0" w:rsidRPr="690E20C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as part of our </w:t>
            </w:r>
            <w:hyperlink r:id="rId11">
              <w:r w:rsidR="426049F0" w:rsidRPr="690E20C5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en-US"/>
                </w:rPr>
                <w:t>Thrive Framework</w:t>
              </w:r>
            </w:hyperlink>
            <w:r w:rsidR="426049F0" w:rsidRPr="690E20C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277475" w14:paraId="33CB5F59" w14:textId="77777777" w:rsidTr="411AFAF6">
        <w:trPr>
          <w:trHeight w:val="569"/>
        </w:trPr>
        <w:tc>
          <w:tcPr>
            <w:tcW w:w="9491" w:type="dxa"/>
            <w:gridSpan w:val="2"/>
            <w:shd w:val="clear" w:color="auto" w:fill="E5F1FE" w:themeFill="accent5"/>
            <w:vAlign w:val="center"/>
          </w:tcPr>
          <w:p w14:paraId="09E86730" w14:textId="77777777" w:rsidR="00277475" w:rsidRDefault="00277475" w:rsidP="00277475">
            <w:pPr>
              <w:pStyle w:val="Tableheading"/>
              <w:numPr>
                <w:ilvl w:val="0"/>
                <w:numId w:val="31"/>
              </w:numPr>
              <w:ind w:left="447" w:hanging="501"/>
            </w:pPr>
            <w:r>
              <w:t>Core Capabilities</w:t>
            </w:r>
          </w:p>
        </w:tc>
      </w:tr>
      <w:tr w:rsidR="00277475" w14:paraId="08B54315" w14:textId="77777777" w:rsidTr="411AFAF6">
        <w:trPr>
          <w:trHeight w:val="231"/>
        </w:trPr>
        <w:tc>
          <w:tcPr>
            <w:tcW w:w="9491" w:type="dxa"/>
            <w:gridSpan w:val="2"/>
            <w:tcBorders>
              <w:top w:val="single" w:sz="2" w:space="0" w:color="0070F1" w:themeColor="accent1"/>
            </w:tcBorders>
            <w:shd w:val="clear" w:color="auto" w:fill="auto"/>
          </w:tcPr>
          <w:p w14:paraId="15F1EAA6" w14:textId="77777777" w:rsidR="00277475" w:rsidRDefault="00277475" w:rsidP="00277475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40BDB82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Of the eight capabilities listed in our </w:t>
            </w:r>
            <w:hyperlink r:id="rId12" w:history="1">
              <w:r w:rsidRPr="0056560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en-US"/>
                </w:rPr>
                <w:t>capability framework</w:t>
              </w:r>
            </w:hyperlink>
            <w:r w:rsidRPr="40BDB82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, critical for role success</w:t>
            </w:r>
            <w:r w:rsidR="001A2A8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0754BE5C" w14:textId="4083378B" w:rsidR="00946832" w:rsidRDefault="00A31230" w:rsidP="690E20C5">
            <w:pPr>
              <w:pStyle w:val="Bullets"/>
              <w:numPr>
                <w:ilvl w:val="0"/>
                <w:numId w:val="39"/>
              </w:numPr>
              <w:ind w:left="360"/>
            </w:pPr>
            <w:r>
              <w:t>Communication</w:t>
            </w:r>
          </w:p>
          <w:p w14:paraId="7C3491B5" w14:textId="77777777" w:rsidR="00A31230" w:rsidRDefault="00DB7474" w:rsidP="690E20C5">
            <w:pPr>
              <w:pStyle w:val="Bullets"/>
              <w:numPr>
                <w:ilvl w:val="0"/>
                <w:numId w:val="39"/>
              </w:numPr>
              <w:ind w:left="360"/>
            </w:pPr>
            <w:r>
              <w:t>Community Centricity</w:t>
            </w:r>
          </w:p>
          <w:p w14:paraId="22DA9CB6" w14:textId="77777777" w:rsidR="00DB7474" w:rsidRDefault="00E960BA" w:rsidP="690E20C5">
            <w:pPr>
              <w:pStyle w:val="Bullets"/>
              <w:numPr>
                <w:ilvl w:val="0"/>
                <w:numId w:val="39"/>
              </w:numPr>
              <w:ind w:left="360"/>
            </w:pPr>
            <w:r>
              <w:t>Partnering</w:t>
            </w:r>
          </w:p>
          <w:p w14:paraId="44CDB306" w14:textId="77777777" w:rsidR="00E960BA" w:rsidRDefault="00E960BA" w:rsidP="690E20C5">
            <w:pPr>
              <w:pStyle w:val="Bullets"/>
              <w:numPr>
                <w:ilvl w:val="0"/>
                <w:numId w:val="39"/>
              </w:numPr>
              <w:ind w:left="360"/>
            </w:pPr>
            <w:r>
              <w:t>Agility</w:t>
            </w:r>
          </w:p>
          <w:p w14:paraId="1C15BB0B" w14:textId="64570747" w:rsidR="00E960BA" w:rsidRPr="001358E4" w:rsidRDefault="0A49C663" w:rsidP="690E20C5">
            <w:pPr>
              <w:pStyle w:val="Bullets"/>
              <w:numPr>
                <w:ilvl w:val="0"/>
                <w:numId w:val="39"/>
              </w:numPr>
              <w:ind w:left="360"/>
              <w:rPr>
                <w:rFonts w:eastAsiaTheme="minorEastAsia"/>
              </w:rPr>
            </w:pPr>
            <w:r>
              <w:t>Leading</w:t>
            </w:r>
            <w:r w:rsidR="00E960BA" w:rsidRPr="690E20C5">
              <w:rPr>
                <w:rFonts w:eastAsiaTheme="minorEastAsia"/>
              </w:rPr>
              <w:t xml:space="preserve"> </w:t>
            </w:r>
          </w:p>
        </w:tc>
      </w:tr>
      <w:tr w:rsidR="00AB59A8" w14:paraId="7D2091C0" w14:textId="77777777" w:rsidTr="411AFAF6">
        <w:trPr>
          <w:trHeight w:val="569"/>
        </w:trPr>
        <w:tc>
          <w:tcPr>
            <w:tcW w:w="9491" w:type="dxa"/>
            <w:gridSpan w:val="2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0DCC9945" w14:textId="1C01FF51" w:rsidR="00AB59A8" w:rsidRDefault="00AB59A8" w:rsidP="00C627F0">
            <w:pPr>
              <w:pStyle w:val="Tableheading"/>
              <w:numPr>
                <w:ilvl w:val="0"/>
                <w:numId w:val="31"/>
              </w:numPr>
              <w:ind w:left="447" w:hanging="501"/>
            </w:pPr>
            <w:r>
              <w:t>Specific Job Competencies</w:t>
            </w:r>
          </w:p>
        </w:tc>
      </w:tr>
      <w:tr w:rsidR="001D5F2F" w14:paraId="1D9E6CE2" w14:textId="77777777" w:rsidTr="411AFAF6">
        <w:trPr>
          <w:trHeight w:val="228"/>
        </w:trPr>
        <w:tc>
          <w:tcPr>
            <w:tcW w:w="9491" w:type="dxa"/>
            <w:gridSpan w:val="2"/>
            <w:shd w:val="clear" w:color="auto" w:fill="auto"/>
          </w:tcPr>
          <w:p w14:paraId="3D15FCD2" w14:textId="33DCE766" w:rsidR="001D5F2F" w:rsidRDefault="001D5F2F" w:rsidP="001358E4">
            <w:pPr>
              <w:pStyle w:val="Tableheading"/>
            </w:pPr>
            <w:r>
              <w:t>Education/qualifications</w:t>
            </w:r>
          </w:p>
          <w:p w14:paraId="23EC1978" w14:textId="4BBFC4AB" w:rsidR="00C50E2D" w:rsidRDefault="00A257CB" w:rsidP="00872856">
            <w:pPr>
              <w:pStyle w:val="Bullets"/>
            </w:pPr>
            <w:r w:rsidRPr="0062775B">
              <w:rPr>
                <w:rFonts w:cstheme="minorHAnsi"/>
              </w:rPr>
              <w:lastRenderedPageBreak/>
              <w:t xml:space="preserve">Tertiary qualifications in a relevant discipline </w:t>
            </w:r>
            <w:proofErr w:type="gramStart"/>
            <w:r w:rsidR="0054486A">
              <w:t>e.g.</w:t>
            </w:r>
            <w:proofErr w:type="gramEnd"/>
            <w:r w:rsidR="0054486A">
              <w:t xml:space="preserve"> in</w:t>
            </w:r>
            <w:r w:rsidR="00872856" w:rsidRPr="008A27E6">
              <w:t xml:space="preserve"> health</w:t>
            </w:r>
            <w:r w:rsidR="0054486A">
              <w:t>, mental health</w:t>
            </w:r>
            <w:r w:rsidR="00872856" w:rsidRPr="008A27E6">
              <w:t xml:space="preserve"> or services related field</w:t>
            </w:r>
            <w:r w:rsidR="00872856">
              <w:t>.</w:t>
            </w:r>
          </w:p>
          <w:p w14:paraId="7CA42EC5" w14:textId="16B85E35" w:rsidR="001D5F2F" w:rsidRDefault="00163500" w:rsidP="001358E4">
            <w:pPr>
              <w:pStyle w:val="Tableheading"/>
            </w:pPr>
            <w:r>
              <w:t>Experience</w:t>
            </w:r>
          </w:p>
          <w:p w14:paraId="7BC3B25C" w14:textId="72C5566C" w:rsidR="001D5F2F" w:rsidRPr="00272BA4" w:rsidRDefault="00C52B2C" w:rsidP="00272BA4">
            <w:pPr>
              <w:pStyle w:val="Bullets"/>
              <w:rPr>
                <w:rFonts w:cstheme="minorHAnsi"/>
              </w:rPr>
            </w:pPr>
            <w:r w:rsidRPr="008A27E6">
              <w:rPr>
                <w:rFonts w:cstheme="minorHAnsi"/>
              </w:rPr>
              <w:t xml:space="preserve">Minimum </w:t>
            </w:r>
            <w:r w:rsidR="00272BA4">
              <w:rPr>
                <w:rFonts w:cstheme="minorHAnsi"/>
              </w:rPr>
              <w:t xml:space="preserve">of </w:t>
            </w:r>
            <w:r w:rsidR="00D5394C">
              <w:rPr>
                <w:rFonts w:cstheme="minorHAnsi"/>
              </w:rPr>
              <w:t>three</w:t>
            </w:r>
            <w:r w:rsidRPr="008A27E6">
              <w:rPr>
                <w:rFonts w:cstheme="minorHAnsi"/>
              </w:rPr>
              <w:t xml:space="preserve"> years’ experience working in a service delivery/program management role within the health sector</w:t>
            </w:r>
            <w:r>
              <w:rPr>
                <w:rFonts w:cstheme="minorHAnsi"/>
              </w:rPr>
              <w:t>.</w:t>
            </w:r>
          </w:p>
        </w:tc>
      </w:tr>
      <w:tr w:rsidR="00256781" w14:paraId="7B8F0153" w14:textId="77777777" w:rsidTr="411AFAF6">
        <w:trPr>
          <w:trHeight w:val="569"/>
        </w:trPr>
        <w:tc>
          <w:tcPr>
            <w:tcW w:w="9491" w:type="dxa"/>
            <w:gridSpan w:val="2"/>
            <w:shd w:val="clear" w:color="auto" w:fill="E5F1FE" w:themeFill="accent5"/>
            <w:vAlign w:val="center"/>
          </w:tcPr>
          <w:p w14:paraId="05251B25" w14:textId="65FAF681" w:rsidR="00256781" w:rsidRDefault="1397DC78" w:rsidP="0097171A">
            <w:pPr>
              <w:pStyle w:val="Tableheading"/>
              <w:numPr>
                <w:ilvl w:val="0"/>
                <w:numId w:val="31"/>
              </w:numPr>
              <w:ind w:left="447" w:hanging="501"/>
              <w:rPr>
                <w:color w:val="0070F1" w:themeColor="accent1"/>
              </w:rPr>
            </w:pPr>
            <w:r>
              <w:lastRenderedPageBreak/>
              <w:t xml:space="preserve">Values leadership </w:t>
            </w:r>
            <w:r w:rsidR="7CFE7538">
              <w:t>and our culture</w:t>
            </w:r>
            <w:r w:rsidR="12AFBE0A">
              <w:t xml:space="preserve"> </w:t>
            </w:r>
            <w:r>
              <w:t>at Beyond Blue</w:t>
            </w:r>
          </w:p>
        </w:tc>
      </w:tr>
      <w:tr w:rsidR="0097171A" w14:paraId="027ABC59" w14:textId="77777777" w:rsidTr="411AFAF6">
        <w:trPr>
          <w:trHeight w:val="228"/>
        </w:trPr>
        <w:tc>
          <w:tcPr>
            <w:tcW w:w="9491" w:type="dxa"/>
            <w:gridSpan w:val="2"/>
            <w:tcBorders>
              <w:bottom w:val="single" w:sz="4" w:space="0" w:color="0070F1" w:themeColor="accent1"/>
            </w:tcBorders>
            <w:shd w:val="clear" w:color="auto" w:fill="auto"/>
          </w:tcPr>
          <w:p w14:paraId="5923E3D6" w14:textId="5DB7953F" w:rsidR="1397DC78" w:rsidRDefault="1397DC78" w:rsidP="592000BD">
            <w:pPr>
              <w:pStyle w:val="Tableheading"/>
            </w:pPr>
            <w:r>
              <w:t>Beyond Blue Values</w:t>
            </w:r>
          </w:p>
          <w:p w14:paraId="769E0AA0" w14:textId="3B5140E4" w:rsidR="592000BD" w:rsidRDefault="5990AFA1" w:rsidP="00D026DF">
            <w:r>
              <w:t xml:space="preserve">We all play a part and take responsibility for our impact on the culture at Beyond Blue, in line with our </w:t>
            </w:r>
            <w:hyperlink r:id="rId13">
              <w:r w:rsidRPr="690E20C5">
                <w:rPr>
                  <w:rStyle w:val="Hyperlink"/>
                </w:rPr>
                <w:t>Values</w:t>
              </w:r>
            </w:hyperlink>
            <w:r>
              <w:t>.</w:t>
            </w:r>
          </w:p>
          <w:p w14:paraId="2F920708" w14:textId="61B03A48" w:rsidR="0097171A" w:rsidRDefault="0097171A" w:rsidP="001358E4">
            <w:pPr>
              <w:pStyle w:val="Tableheading"/>
            </w:pPr>
            <w:r>
              <w:t xml:space="preserve">Cultural competency </w:t>
            </w:r>
          </w:p>
          <w:p w14:paraId="3EE56C5B" w14:textId="3D2AB6C5" w:rsidR="0097171A" w:rsidRPr="00D203C2" w:rsidRDefault="0097171A" w:rsidP="0097171A">
            <w:pPr>
              <w:spacing w:before="120"/>
            </w:pPr>
            <w:r w:rsidRPr="40BDB82B">
              <w:t>Beyond Blue strives to maintain a culturally competent and inclusive workplace. All employees are expected to undergo regular cultural competency training as part of their professional development plans.</w:t>
            </w:r>
          </w:p>
        </w:tc>
      </w:tr>
    </w:tbl>
    <w:p w14:paraId="1D747D84" w14:textId="77777777" w:rsidR="0046308A" w:rsidRDefault="0046308A" w:rsidP="00332AB7"/>
    <w:p w14:paraId="25E72ACA" w14:textId="77777777" w:rsidR="007F3EB3" w:rsidRDefault="007F3EB3" w:rsidP="00332AB7"/>
    <w:sectPr w:rsidR="007F3EB3" w:rsidSect="005939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2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A45F5" w14:textId="77777777" w:rsidR="00A21C82" w:rsidRDefault="00A21C82" w:rsidP="003916DB">
      <w:pPr>
        <w:spacing w:after="0"/>
      </w:pPr>
      <w:r>
        <w:separator/>
      </w:r>
    </w:p>
  </w:endnote>
  <w:endnote w:type="continuationSeparator" w:id="0">
    <w:p w14:paraId="63B88EF7" w14:textId="77777777" w:rsidR="00A21C82" w:rsidRDefault="00A21C82" w:rsidP="003916DB">
      <w:pPr>
        <w:spacing w:after="0"/>
      </w:pPr>
      <w:r>
        <w:continuationSeparator/>
      </w:r>
    </w:p>
  </w:endnote>
  <w:endnote w:type="continuationNotice" w:id="1">
    <w:p w14:paraId="659FAD9C" w14:textId="77777777" w:rsidR="00A21C82" w:rsidRDefault="00A21C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725B" w14:textId="77777777" w:rsidR="00DD0C22" w:rsidRDefault="00DD0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DDCE" w14:textId="66C7CB0F" w:rsidR="004C3889" w:rsidRPr="00332AB7" w:rsidRDefault="004C3889">
    <w:pPr>
      <w:pStyle w:val="Footer"/>
      <w:pBdr>
        <w:top w:val="single" w:sz="4" w:space="8" w:color="0070F1" w:themeColor="accent1"/>
      </w:pBdr>
      <w:spacing w:before="360"/>
      <w:contextualSpacing/>
      <w:jc w:val="right"/>
      <w:rPr>
        <w:noProof/>
        <w:color w:val="0070F1" w:themeColor="accent1"/>
        <w:sz w:val="16"/>
        <w:szCs w:val="16"/>
      </w:rPr>
    </w:pPr>
    <w:r w:rsidRPr="00332AB7">
      <w:rPr>
        <w:noProof/>
        <w:color w:val="0070F1" w:themeColor="accent1"/>
        <w:sz w:val="16"/>
        <w:szCs w:val="16"/>
      </w:rPr>
      <w:fldChar w:fldCharType="begin"/>
    </w:r>
    <w:r w:rsidRPr="00332AB7">
      <w:rPr>
        <w:noProof/>
        <w:color w:val="0070F1" w:themeColor="accent1"/>
        <w:sz w:val="16"/>
        <w:szCs w:val="16"/>
      </w:rPr>
      <w:instrText xml:space="preserve"> PAGE   \* MERGEFORMAT </w:instrText>
    </w:r>
    <w:r w:rsidRPr="00332AB7">
      <w:rPr>
        <w:noProof/>
        <w:color w:val="0070F1" w:themeColor="accent1"/>
        <w:sz w:val="16"/>
        <w:szCs w:val="16"/>
      </w:rPr>
      <w:fldChar w:fldCharType="separate"/>
    </w:r>
    <w:r w:rsidR="00D65BA3">
      <w:rPr>
        <w:noProof/>
        <w:color w:val="0070F1" w:themeColor="accent1"/>
        <w:sz w:val="16"/>
        <w:szCs w:val="16"/>
      </w:rPr>
      <w:t>7</w:t>
    </w:r>
    <w:r w:rsidRPr="00332AB7">
      <w:rPr>
        <w:noProof/>
        <w:color w:val="0070F1" w:themeColor="accent1"/>
        <w:sz w:val="16"/>
        <w:szCs w:val="16"/>
      </w:rPr>
      <w:fldChar w:fldCharType="end"/>
    </w:r>
  </w:p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4677"/>
      <w:gridCol w:w="709"/>
      <w:gridCol w:w="2693"/>
    </w:tblGrid>
    <w:tr w:rsidR="004C3889" w14:paraId="3ABA3FDB" w14:textId="77777777" w:rsidTr="40BDB82B">
      <w:tc>
        <w:tcPr>
          <w:tcW w:w="1555" w:type="dxa"/>
        </w:tcPr>
        <w:p w14:paraId="30C788C0" w14:textId="779726BD" w:rsidR="004C3889" w:rsidRPr="00332AB7" w:rsidRDefault="004C3889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4677" w:type="dxa"/>
        </w:tcPr>
        <w:p w14:paraId="44AFCA0E" w14:textId="77777777" w:rsidR="004C3889" w:rsidRPr="00332AB7" w:rsidRDefault="004C3889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709" w:type="dxa"/>
        </w:tcPr>
        <w:p w14:paraId="4DDA4E9E" w14:textId="48015E9A" w:rsidR="004C3889" w:rsidRPr="00332AB7" w:rsidRDefault="004C3889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2693" w:type="dxa"/>
        </w:tcPr>
        <w:p w14:paraId="71D6063D" w14:textId="44856E03" w:rsidR="004C3889" w:rsidRPr="00332AB7" w:rsidRDefault="004C3889">
          <w:pPr>
            <w:pStyle w:val="Footer"/>
            <w:rPr>
              <w:sz w:val="16"/>
              <w:szCs w:val="16"/>
              <w:lang w:val="en-US"/>
            </w:rPr>
          </w:pPr>
        </w:p>
      </w:tc>
    </w:tr>
    <w:tr w:rsidR="004C3889" w14:paraId="167F25B0" w14:textId="77777777" w:rsidTr="40BDB82B">
      <w:trPr>
        <w:trHeight w:val="80"/>
      </w:trPr>
      <w:tc>
        <w:tcPr>
          <w:tcW w:w="1555" w:type="dxa"/>
        </w:tcPr>
        <w:p w14:paraId="4A94EAB9" w14:textId="709C211A" w:rsidR="004C3889" w:rsidRPr="00332AB7" w:rsidRDefault="004C3889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4677" w:type="dxa"/>
        </w:tcPr>
        <w:p w14:paraId="7E2DC6AE" w14:textId="77777777" w:rsidR="004C3889" w:rsidRPr="00332AB7" w:rsidRDefault="004C3889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709" w:type="dxa"/>
        </w:tcPr>
        <w:p w14:paraId="0AD00996" w14:textId="7CB616F8" w:rsidR="004C3889" w:rsidRPr="00332AB7" w:rsidRDefault="004C3889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2693" w:type="dxa"/>
        </w:tcPr>
        <w:p w14:paraId="4DFDA3BB" w14:textId="43A778BF" w:rsidR="004C3889" w:rsidRPr="00332AB7" w:rsidRDefault="004C3889">
          <w:pPr>
            <w:pStyle w:val="Footer"/>
            <w:rPr>
              <w:sz w:val="16"/>
              <w:szCs w:val="16"/>
              <w:lang w:val="en-US"/>
            </w:rPr>
          </w:pPr>
        </w:p>
      </w:tc>
    </w:tr>
  </w:tbl>
  <w:p w14:paraId="46716435" w14:textId="192B4B6D" w:rsidR="004C3889" w:rsidRPr="004C3889" w:rsidRDefault="004C3889" w:rsidP="004C3889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D706" w14:textId="581307B7" w:rsidR="00332AB7" w:rsidRPr="00332AB7" w:rsidRDefault="00332AB7" w:rsidP="00332AB7">
    <w:pPr>
      <w:pStyle w:val="Footer"/>
      <w:pBdr>
        <w:top w:val="single" w:sz="4" w:space="8" w:color="0070F1" w:themeColor="accent1"/>
      </w:pBdr>
      <w:spacing w:before="360"/>
      <w:contextualSpacing/>
      <w:jc w:val="right"/>
      <w:rPr>
        <w:noProof/>
        <w:color w:val="0070F1" w:themeColor="accent1"/>
        <w:sz w:val="16"/>
        <w:szCs w:val="16"/>
      </w:rPr>
    </w:pPr>
    <w:r w:rsidRPr="00332AB7">
      <w:rPr>
        <w:noProof/>
        <w:color w:val="0070F1" w:themeColor="accent1"/>
        <w:sz w:val="16"/>
        <w:szCs w:val="16"/>
      </w:rPr>
      <w:fldChar w:fldCharType="begin"/>
    </w:r>
    <w:r w:rsidRPr="00332AB7">
      <w:rPr>
        <w:noProof/>
        <w:color w:val="0070F1" w:themeColor="accent1"/>
        <w:sz w:val="16"/>
        <w:szCs w:val="16"/>
      </w:rPr>
      <w:instrText xml:space="preserve"> PAGE   \* MERGEFORMAT </w:instrText>
    </w:r>
    <w:r w:rsidRPr="00332AB7">
      <w:rPr>
        <w:noProof/>
        <w:color w:val="0070F1" w:themeColor="accent1"/>
        <w:sz w:val="16"/>
        <w:szCs w:val="16"/>
      </w:rPr>
      <w:fldChar w:fldCharType="separate"/>
    </w:r>
    <w:r w:rsidR="00D65BA3">
      <w:rPr>
        <w:noProof/>
        <w:color w:val="0070F1" w:themeColor="accent1"/>
        <w:sz w:val="16"/>
        <w:szCs w:val="16"/>
      </w:rPr>
      <w:t>1</w:t>
    </w:r>
    <w:r w:rsidRPr="00332AB7">
      <w:rPr>
        <w:noProof/>
        <w:color w:val="0070F1" w:themeColor="accent1"/>
        <w:sz w:val="16"/>
        <w:szCs w:val="16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1"/>
      <w:gridCol w:w="3511"/>
      <w:gridCol w:w="672"/>
      <w:gridCol w:w="2042"/>
      <w:gridCol w:w="2042"/>
    </w:tblGrid>
    <w:tr w:rsidR="00332AB7" w14:paraId="25CE2425" w14:textId="15107BC5" w:rsidTr="40BDB82B">
      <w:tc>
        <w:tcPr>
          <w:tcW w:w="1371" w:type="dxa"/>
        </w:tcPr>
        <w:p w14:paraId="29E6FAAB" w14:textId="06AF8DC3" w:rsidR="00332AB7" w:rsidRPr="00332AB7" w:rsidRDefault="00332AB7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3511" w:type="dxa"/>
        </w:tcPr>
        <w:p w14:paraId="1D2B44D8" w14:textId="77777777" w:rsidR="00332AB7" w:rsidRPr="00332AB7" w:rsidRDefault="00332AB7" w:rsidP="00332AB7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672" w:type="dxa"/>
        </w:tcPr>
        <w:p w14:paraId="1FFCDA54" w14:textId="5A41348E" w:rsidR="00332AB7" w:rsidRPr="00332AB7" w:rsidRDefault="00332AB7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2042" w:type="dxa"/>
        </w:tcPr>
        <w:p w14:paraId="42508369" w14:textId="77777777" w:rsidR="00332AB7" w:rsidRPr="00332AB7" w:rsidRDefault="00332AB7" w:rsidP="00332AB7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2042" w:type="dxa"/>
        </w:tcPr>
        <w:p w14:paraId="3468FDEC" w14:textId="77777777" w:rsidR="00332AB7" w:rsidRPr="00332AB7" w:rsidRDefault="00332AB7" w:rsidP="00332AB7">
          <w:pPr>
            <w:pStyle w:val="Footer"/>
            <w:rPr>
              <w:sz w:val="16"/>
              <w:szCs w:val="16"/>
              <w:lang w:val="en-US"/>
            </w:rPr>
          </w:pPr>
        </w:p>
      </w:tc>
    </w:tr>
    <w:tr w:rsidR="00332AB7" w14:paraId="64B03D3B" w14:textId="3AE219E8" w:rsidTr="40BDB82B">
      <w:tc>
        <w:tcPr>
          <w:tcW w:w="1371" w:type="dxa"/>
        </w:tcPr>
        <w:p w14:paraId="704D607A" w14:textId="22B5220A" w:rsidR="00332AB7" w:rsidRPr="00332AB7" w:rsidRDefault="00332AB7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3511" w:type="dxa"/>
        </w:tcPr>
        <w:p w14:paraId="637B1BA2" w14:textId="77777777" w:rsidR="00332AB7" w:rsidRPr="00332AB7" w:rsidRDefault="00332AB7" w:rsidP="00332AB7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672" w:type="dxa"/>
        </w:tcPr>
        <w:p w14:paraId="04E004AD" w14:textId="54DC4E4F" w:rsidR="00332AB7" w:rsidRPr="00332AB7" w:rsidRDefault="00332AB7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2042" w:type="dxa"/>
        </w:tcPr>
        <w:p w14:paraId="212006C3" w14:textId="77777777" w:rsidR="00332AB7" w:rsidRPr="00332AB7" w:rsidRDefault="00332AB7" w:rsidP="00332AB7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2042" w:type="dxa"/>
        </w:tcPr>
        <w:p w14:paraId="0F08A496" w14:textId="77777777" w:rsidR="00332AB7" w:rsidRPr="00332AB7" w:rsidRDefault="00332AB7" w:rsidP="00332AB7">
          <w:pPr>
            <w:pStyle w:val="Footer"/>
            <w:rPr>
              <w:sz w:val="16"/>
              <w:szCs w:val="16"/>
              <w:lang w:val="en-US"/>
            </w:rPr>
          </w:pPr>
        </w:p>
      </w:tc>
    </w:tr>
  </w:tbl>
  <w:p w14:paraId="436AF98B" w14:textId="77777777" w:rsidR="00332AB7" w:rsidRDefault="0033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3BBE" w14:textId="77777777" w:rsidR="00A21C82" w:rsidRDefault="00A21C82" w:rsidP="003916DB">
      <w:pPr>
        <w:spacing w:after="0"/>
      </w:pPr>
      <w:r>
        <w:separator/>
      </w:r>
    </w:p>
  </w:footnote>
  <w:footnote w:type="continuationSeparator" w:id="0">
    <w:p w14:paraId="4123FB5E" w14:textId="77777777" w:rsidR="00A21C82" w:rsidRDefault="00A21C82" w:rsidP="003916DB">
      <w:pPr>
        <w:spacing w:after="0"/>
      </w:pPr>
      <w:r>
        <w:continuationSeparator/>
      </w:r>
    </w:p>
  </w:footnote>
  <w:footnote w:type="continuationNotice" w:id="1">
    <w:p w14:paraId="7032487D" w14:textId="77777777" w:rsidR="00A21C82" w:rsidRDefault="00A21C8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73DD" w14:textId="77777777" w:rsidR="00DD0C22" w:rsidRDefault="00DD0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0367" w14:textId="6C563956" w:rsidR="00DD0C22" w:rsidRDefault="00DD0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294B" w14:textId="0E23655D" w:rsidR="00902532" w:rsidRDefault="00A9554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17F80D21" wp14:editId="59FD60D4">
          <wp:simplePos x="0" y="0"/>
          <wp:positionH relativeFrom="margin">
            <wp:posOffset>4330700</wp:posOffset>
          </wp:positionH>
          <wp:positionV relativeFrom="paragraph">
            <wp:posOffset>-979170</wp:posOffset>
          </wp:positionV>
          <wp:extent cx="1979930" cy="990600"/>
          <wp:effectExtent l="0" t="0" r="0" b="0"/>
          <wp:wrapNone/>
          <wp:docPr id="5" name="Picture 5" descr="Beyond Blue logo that consists of a butterfly like shape on the left and the words Beyond Blue stacked on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eyond Blue logo that consists of a butterfly like shape on the left and the words Beyond Blue stacked on the r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6DD6A17" wp14:editId="486F1B3C">
              <wp:simplePos x="0" y="0"/>
              <wp:positionH relativeFrom="column">
                <wp:posOffset>-78740</wp:posOffset>
              </wp:positionH>
              <wp:positionV relativeFrom="paragraph">
                <wp:posOffset>-1007745</wp:posOffset>
              </wp:positionV>
              <wp:extent cx="2360930" cy="1404620"/>
              <wp:effectExtent l="0" t="0" r="0" b="31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5173F" w14:textId="71481A9C" w:rsidR="004C3889" w:rsidRPr="006712F0" w:rsidRDefault="004C3889" w:rsidP="004C3889">
                          <w:pP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6712F0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 xml:space="preserve">Position </w:t>
                          </w:r>
                          <w:r w:rsidRPr="006712F0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br/>
                            <w:t>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DD6A1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6.2pt;margin-top:-79.3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D5/uNd8AAAALAQAADwAAAAAAAAAA&#10;AAAAAABVBAAAZHJzL2Rvd25yZXYueG1sUEsFBgAAAAAEAAQA8wAAAGEFAAAAAA==&#10;" filled="f" stroked="f">
              <v:textbox style="mso-fit-shape-to-text:t">
                <w:txbxContent>
                  <w:p w14:paraId="42F5173F" w14:textId="71481A9C" w:rsidR="004C3889" w:rsidRPr="006712F0" w:rsidRDefault="004C3889" w:rsidP="004C3889">
                    <w:pP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6712F0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 xml:space="preserve">Position </w:t>
                    </w:r>
                    <w:r w:rsidRPr="006712F0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br/>
                      <w:t>description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5667">
      <w:rPr>
        <w:noProof/>
        <w:lang w:eastAsia="en-AU"/>
      </w:rPr>
      <w:drawing>
        <wp:anchor distT="0" distB="0" distL="114300" distR="114300" simplePos="0" relativeHeight="251656192" behindDoc="0" locked="0" layoutInCell="1" allowOverlap="1" wp14:anchorId="5CC59645" wp14:editId="07A45188">
          <wp:simplePos x="0" y="0"/>
          <wp:positionH relativeFrom="page">
            <wp:posOffset>0</wp:posOffset>
          </wp:positionH>
          <wp:positionV relativeFrom="paragraph">
            <wp:posOffset>-1764030</wp:posOffset>
          </wp:positionV>
          <wp:extent cx="4676775" cy="2332990"/>
          <wp:effectExtent l="0" t="0" r="952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775" cy="233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C4B"/>
    <w:multiLevelType w:val="hybridMultilevel"/>
    <w:tmpl w:val="38BA9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2C4"/>
    <w:multiLevelType w:val="multilevel"/>
    <w:tmpl w:val="945C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9C524D"/>
    <w:multiLevelType w:val="hybridMultilevel"/>
    <w:tmpl w:val="2C0ACED6"/>
    <w:lvl w:ilvl="0" w:tplc="8EC22A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8C347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977ABB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002189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7E6C7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8D509DE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F58773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6A461D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78664E7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ADC427B"/>
    <w:multiLevelType w:val="hybridMultilevel"/>
    <w:tmpl w:val="6D40B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7296"/>
    <w:multiLevelType w:val="hybridMultilevel"/>
    <w:tmpl w:val="760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74B3D"/>
    <w:multiLevelType w:val="hybridMultilevel"/>
    <w:tmpl w:val="B0BA7FB2"/>
    <w:lvl w:ilvl="0" w:tplc="253A7F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6506284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B5E6DF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EA36BF9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D9CD84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D744046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4DD0ADF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D5A0F2B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1AA394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2EAD5DEC"/>
    <w:multiLevelType w:val="hybridMultilevel"/>
    <w:tmpl w:val="EFB0ED10"/>
    <w:lvl w:ilvl="0" w:tplc="25964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C74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049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CA4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437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92E0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89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56E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240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5900343"/>
    <w:multiLevelType w:val="hybridMultilevel"/>
    <w:tmpl w:val="76DAFA38"/>
    <w:lvl w:ilvl="0" w:tplc="3BCA0C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75412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E57E8D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482D4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4625D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C84ED94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4B56A89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4268B1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060B38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3B545557"/>
    <w:multiLevelType w:val="hybridMultilevel"/>
    <w:tmpl w:val="11F4207A"/>
    <w:lvl w:ilvl="0" w:tplc="6578365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70F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6D74DB"/>
    <w:multiLevelType w:val="hybridMultilevel"/>
    <w:tmpl w:val="A100F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37070"/>
    <w:multiLevelType w:val="hybridMultilevel"/>
    <w:tmpl w:val="D5F80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50479"/>
    <w:multiLevelType w:val="hybridMultilevel"/>
    <w:tmpl w:val="1A50C10C"/>
    <w:lvl w:ilvl="0" w:tplc="D7AC6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C0A83"/>
    <w:multiLevelType w:val="hybridMultilevel"/>
    <w:tmpl w:val="E104D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A385D"/>
    <w:multiLevelType w:val="hybridMultilevel"/>
    <w:tmpl w:val="FD461964"/>
    <w:lvl w:ilvl="0" w:tplc="52969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CA63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EECC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5E6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A3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12E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18B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617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4D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B623898"/>
    <w:multiLevelType w:val="multilevel"/>
    <w:tmpl w:val="D502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8F00FC"/>
    <w:multiLevelType w:val="hybridMultilevel"/>
    <w:tmpl w:val="CE88F1E8"/>
    <w:lvl w:ilvl="0" w:tplc="74CC5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F1" w:themeColor="accen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A0BBE"/>
    <w:multiLevelType w:val="hybridMultilevel"/>
    <w:tmpl w:val="3BB64114"/>
    <w:lvl w:ilvl="0" w:tplc="2D382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E3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588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B2A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67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FEF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668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812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AE1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FC96290"/>
    <w:multiLevelType w:val="hybridMultilevel"/>
    <w:tmpl w:val="E68E8A98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B59A0"/>
    <w:multiLevelType w:val="hybridMultilevel"/>
    <w:tmpl w:val="DEFE58C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E36782"/>
    <w:multiLevelType w:val="hybridMultilevel"/>
    <w:tmpl w:val="47285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10B4A"/>
    <w:multiLevelType w:val="hybridMultilevel"/>
    <w:tmpl w:val="8794C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324D4"/>
    <w:multiLevelType w:val="hybridMultilevel"/>
    <w:tmpl w:val="4306C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306F6"/>
    <w:multiLevelType w:val="hybridMultilevel"/>
    <w:tmpl w:val="80E2FD7A"/>
    <w:lvl w:ilvl="0" w:tplc="B71C58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DC666D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7EA08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FEC221B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DE2AE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484CF2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DEF27DB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DA10378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4F166FD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3" w15:restartNumberingAfterBreak="0">
    <w:nsid w:val="6AEF1D8F"/>
    <w:multiLevelType w:val="hybridMultilevel"/>
    <w:tmpl w:val="53C293A4"/>
    <w:lvl w:ilvl="0" w:tplc="74CC5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F1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717F5"/>
    <w:multiLevelType w:val="hybridMultilevel"/>
    <w:tmpl w:val="922642CC"/>
    <w:lvl w:ilvl="0" w:tplc="0D4C6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E0C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BC48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86C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42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FE0A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CB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AB4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D6E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2DB10FA"/>
    <w:multiLevelType w:val="hybridMultilevel"/>
    <w:tmpl w:val="E6806660"/>
    <w:lvl w:ilvl="0" w:tplc="F7ECE0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A080E5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27A420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24CC84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8CCA96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64B2698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1CD0B82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1172872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04D0120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6" w15:restartNumberingAfterBreak="0">
    <w:nsid w:val="79087004"/>
    <w:multiLevelType w:val="hybridMultilevel"/>
    <w:tmpl w:val="33CCA3F8"/>
    <w:lvl w:ilvl="0" w:tplc="D69810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7E2895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88C6980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5DEAA3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003698E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DD2C57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CCF8D6F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EA4CD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EABAA17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7B8D1469"/>
    <w:multiLevelType w:val="hybridMultilevel"/>
    <w:tmpl w:val="7778DB58"/>
    <w:lvl w:ilvl="0" w:tplc="81AAD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0C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566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86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215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4E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A6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49E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2CB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F9417FE"/>
    <w:multiLevelType w:val="hybridMultilevel"/>
    <w:tmpl w:val="3FE23D0C"/>
    <w:lvl w:ilvl="0" w:tplc="6A7C6D84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  <w:b/>
        <w:color w:val="0070F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5654461">
    <w:abstractNumId w:val="8"/>
  </w:num>
  <w:num w:numId="2" w16cid:durableId="1583953135">
    <w:abstractNumId w:val="28"/>
  </w:num>
  <w:num w:numId="3" w16cid:durableId="1755198019">
    <w:abstractNumId w:val="21"/>
  </w:num>
  <w:num w:numId="4" w16cid:durableId="1346709899">
    <w:abstractNumId w:val="9"/>
  </w:num>
  <w:num w:numId="5" w16cid:durableId="33192821">
    <w:abstractNumId w:val="0"/>
  </w:num>
  <w:num w:numId="6" w16cid:durableId="197091296">
    <w:abstractNumId w:val="4"/>
  </w:num>
  <w:num w:numId="7" w16cid:durableId="1121651099">
    <w:abstractNumId w:val="8"/>
  </w:num>
  <w:num w:numId="8" w16cid:durableId="53840209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65740891">
    <w:abstractNumId w:val="8"/>
  </w:num>
  <w:num w:numId="10" w16cid:durableId="177007570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29160270">
    <w:abstractNumId w:val="18"/>
  </w:num>
  <w:num w:numId="12" w16cid:durableId="637106859">
    <w:abstractNumId w:val="17"/>
  </w:num>
  <w:num w:numId="13" w16cid:durableId="1670252946">
    <w:abstractNumId w:val="3"/>
  </w:num>
  <w:num w:numId="14" w16cid:durableId="1660452429">
    <w:abstractNumId w:val="19"/>
  </w:num>
  <w:num w:numId="15" w16cid:durableId="1414550421">
    <w:abstractNumId w:val="10"/>
  </w:num>
  <w:num w:numId="16" w16cid:durableId="847871170">
    <w:abstractNumId w:val="12"/>
  </w:num>
  <w:num w:numId="17" w16cid:durableId="1794014286">
    <w:abstractNumId w:val="5"/>
  </w:num>
  <w:num w:numId="18" w16cid:durableId="1355690230">
    <w:abstractNumId w:val="22"/>
  </w:num>
  <w:num w:numId="19" w16cid:durableId="1560481265">
    <w:abstractNumId w:val="7"/>
  </w:num>
  <w:num w:numId="20" w16cid:durableId="414060328">
    <w:abstractNumId w:val="2"/>
  </w:num>
  <w:num w:numId="21" w16cid:durableId="1451779113">
    <w:abstractNumId w:val="26"/>
  </w:num>
  <w:num w:numId="22" w16cid:durableId="1920750700">
    <w:abstractNumId w:val="25"/>
  </w:num>
  <w:num w:numId="23" w16cid:durableId="1197622159">
    <w:abstractNumId w:val="8"/>
  </w:num>
  <w:num w:numId="24" w16cid:durableId="529729473">
    <w:abstractNumId w:val="8"/>
  </w:num>
  <w:num w:numId="25" w16cid:durableId="747730459">
    <w:abstractNumId w:val="8"/>
  </w:num>
  <w:num w:numId="26" w16cid:durableId="1265722812">
    <w:abstractNumId w:val="8"/>
  </w:num>
  <w:num w:numId="27" w16cid:durableId="904027385">
    <w:abstractNumId w:val="8"/>
  </w:num>
  <w:num w:numId="28" w16cid:durableId="887033943">
    <w:abstractNumId w:val="8"/>
  </w:num>
  <w:num w:numId="29" w16cid:durableId="1550339365">
    <w:abstractNumId w:val="8"/>
  </w:num>
  <w:num w:numId="30" w16cid:durableId="355470781">
    <w:abstractNumId w:val="8"/>
  </w:num>
  <w:num w:numId="31" w16cid:durableId="1963145275">
    <w:abstractNumId w:val="11"/>
  </w:num>
  <w:num w:numId="32" w16cid:durableId="2061783468">
    <w:abstractNumId w:val="13"/>
  </w:num>
  <w:num w:numId="33" w16cid:durableId="1488740776">
    <w:abstractNumId w:val="24"/>
  </w:num>
  <w:num w:numId="34" w16cid:durableId="657266584">
    <w:abstractNumId w:val="16"/>
  </w:num>
  <w:num w:numId="35" w16cid:durableId="208687531">
    <w:abstractNumId w:val="6"/>
  </w:num>
  <w:num w:numId="36" w16cid:durableId="176309619">
    <w:abstractNumId w:val="27"/>
  </w:num>
  <w:num w:numId="37" w16cid:durableId="1196163871">
    <w:abstractNumId w:val="15"/>
  </w:num>
  <w:num w:numId="38" w16cid:durableId="7412752">
    <w:abstractNumId w:val="8"/>
  </w:num>
  <w:num w:numId="39" w16cid:durableId="188447898">
    <w:abstractNumId w:val="20"/>
  </w:num>
  <w:num w:numId="40" w16cid:durableId="1241139030">
    <w:abstractNumId w:val="1"/>
  </w:num>
  <w:num w:numId="41" w16cid:durableId="1201429776">
    <w:abstractNumId w:val="14"/>
  </w:num>
  <w:num w:numId="42" w16cid:durableId="190533002">
    <w:abstractNumId w:val="23"/>
  </w:num>
  <w:num w:numId="43" w16cid:durableId="3950134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13"/>
    <w:rsid w:val="00010EF5"/>
    <w:rsid w:val="00012D30"/>
    <w:rsid w:val="00012D97"/>
    <w:rsid w:val="0001798A"/>
    <w:rsid w:val="00022744"/>
    <w:rsid w:val="00025BE4"/>
    <w:rsid w:val="0003549D"/>
    <w:rsid w:val="0004397D"/>
    <w:rsid w:val="00044733"/>
    <w:rsid w:val="00047455"/>
    <w:rsid w:val="00047A60"/>
    <w:rsid w:val="00070685"/>
    <w:rsid w:val="000719A0"/>
    <w:rsid w:val="000820BC"/>
    <w:rsid w:val="00083100"/>
    <w:rsid w:val="000A1C51"/>
    <w:rsid w:val="000A50BA"/>
    <w:rsid w:val="000B531E"/>
    <w:rsid w:val="000C7916"/>
    <w:rsid w:val="000D0899"/>
    <w:rsid w:val="000D0951"/>
    <w:rsid w:val="000D5279"/>
    <w:rsid w:val="000D6C0D"/>
    <w:rsid w:val="000E211B"/>
    <w:rsid w:val="000E35AA"/>
    <w:rsid w:val="0010491B"/>
    <w:rsid w:val="00114DB8"/>
    <w:rsid w:val="001160EF"/>
    <w:rsid w:val="00117011"/>
    <w:rsid w:val="00117A93"/>
    <w:rsid w:val="00120E32"/>
    <w:rsid w:val="00121EE3"/>
    <w:rsid w:val="0013009B"/>
    <w:rsid w:val="00130775"/>
    <w:rsid w:val="001358E4"/>
    <w:rsid w:val="00141C03"/>
    <w:rsid w:val="001443F7"/>
    <w:rsid w:val="00147B22"/>
    <w:rsid w:val="00162662"/>
    <w:rsid w:val="00163500"/>
    <w:rsid w:val="00171DA6"/>
    <w:rsid w:val="001776C8"/>
    <w:rsid w:val="001805C9"/>
    <w:rsid w:val="00190670"/>
    <w:rsid w:val="001A1A3F"/>
    <w:rsid w:val="001A28F0"/>
    <w:rsid w:val="001A2A86"/>
    <w:rsid w:val="001A7AE8"/>
    <w:rsid w:val="001B2413"/>
    <w:rsid w:val="001B439C"/>
    <w:rsid w:val="001B5996"/>
    <w:rsid w:val="001B7159"/>
    <w:rsid w:val="001C3346"/>
    <w:rsid w:val="001C3D56"/>
    <w:rsid w:val="001C5F9E"/>
    <w:rsid w:val="001C7EA5"/>
    <w:rsid w:val="001D033D"/>
    <w:rsid w:val="001D313D"/>
    <w:rsid w:val="001D5A0E"/>
    <w:rsid w:val="001D5F2F"/>
    <w:rsid w:val="001F1B8F"/>
    <w:rsid w:val="001F266B"/>
    <w:rsid w:val="001F4346"/>
    <w:rsid w:val="001F4E8D"/>
    <w:rsid w:val="0020582D"/>
    <w:rsid w:val="0021098F"/>
    <w:rsid w:val="00231261"/>
    <w:rsid w:val="002411A1"/>
    <w:rsid w:val="002465B1"/>
    <w:rsid w:val="00252693"/>
    <w:rsid w:val="00253A10"/>
    <w:rsid w:val="00256781"/>
    <w:rsid w:val="002605D1"/>
    <w:rsid w:val="002617CD"/>
    <w:rsid w:val="002662F0"/>
    <w:rsid w:val="00267FE5"/>
    <w:rsid w:val="0027006E"/>
    <w:rsid w:val="0027196B"/>
    <w:rsid w:val="00272BA4"/>
    <w:rsid w:val="00277099"/>
    <w:rsid w:val="00277475"/>
    <w:rsid w:val="00280682"/>
    <w:rsid w:val="0028106E"/>
    <w:rsid w:val="002826FA"/>
    <w:rsid w:val="002858B1"/>
    <w:rsid w:val="00286029"/>
    <w:rsid w:val="002A1284"/>
    <w:rsid w:val="002A6654"/>
    <w:rsid w:val="002B2562"/>
    <w:rsid w:val="002B3354"/>
    <w:rsid w:val="002C43A3"/>
    <w:rsid w:val="002C4D09"/>
    <w:rsid w:val="002D2829"/>
    <w:rsid w:val="002F0C40"/>
    <w:rsid w:val="002F26F3"/>
    <w:rsid w:val="002F5812"/>
    <w:rsid w:val="002F5AD8"/>
    <w:rsid w:val="002F69C1"/>
    <w:rsid w:val="002F7A18"/>
    <w:rsid w:val="003116EB"/>
    <w:rsid w:val="00322A47"/>
    <w:rsid w:val="00326D0F"/>
    <w:rsid w:val="00330AA4"/>
    <w:rsid w:val="00332AB7"/>
    <w:rsid w:val="00332C36"/>
    <w:rsid w:val="00335AE4"/>
    <w:rsid w:val="003437AB"/>
    <w:rsid w:val="00345568"/>
    <w:rsid w:val="00346512"/>
    <w:rsid w:val="00356625"/>
    <w:rsid w:val="0036143D"/>
    <w:rsid w:val="003626FB"/>
    <w:rsid w:val="003671C6"/>
    <w:rsid w:val="003730C2"/>
    <w:rsid w:val="0037388E"/>
    <w:rsid w:val="003746D0"/>
    <w:rsid w:val="00380BCA"/>
    <w:rsid w:val="00382A6F"/>
    <w:rsid w:val="003869B4"/>
    <w:rsid w:val="003916DB"/>
    <w:rsid w:val="00394E58"/>
    <w:rsid w:val="0039612C"/>
    <w:rsid w:val="0039642E"/>
    <w:rsid w:val="003A5573"/>
    <w:rsid w:val="003A6AE0"/>
    <w:rsid w:val="003B067C"/>
    <w:rsid w:val="003C2313"/>
    <w:rsid w:val="003C5691"/>
    <w:rsid w:val="003C5C5E"/>
    <w:rsid w:val="003C7345"/>
    <w:rsid w:val="003D2802"/>
    <w:rsid w:val="003D44AE"/>
    <w:rsid w:val="003D5FC1"/>
    <w:rsid w:val="003D66F4"/>
    <w:rsid w:val="003E45A4"/>
    <w:rsid w:val="003E612B"/>
    <w:rsid w:val="003F1337"/>
    <w:rsid w:val="003F147A"/>
    <w:rsid w:val="003F6EB2"/>
    <w:rsid w:val="003F7AFE"/>
    <w:rsid w:val="00412FA5"/>
    <w:rsid w:val="004156DF"/>
    <w:rsid w:val="00445B47"/>
    <w:rsid w:val="004517E7"/>
    <w:rsid w:val="00455F06"/>
    <w:rsid w:val="0046308A"/>
    <w:rsid w:val="004634CF"/>
    <w:rsid w:val="00470D2A"/>
    <w:rsid w:val="00480E54"/>
    <w:rsid w:val="00482104"/>
    <w:rsid w:val="004824C9"/>
    <w:rsid w:val="00494FCD"/>
    <w:rsid w:val="004A3DE2"/>
    <w:rsid w:val="004B11BD"/>
    <w:rsid w:val="004B4768"/>
    <w:rsid w:val="004C3889"/>
    <w:rsid w:val="004C5D54"/>
    <w:rsid w:val="004C6D59"/>
    <w:rsid w:val="004E4128"/>
    <w:rsid w:val="004F00A7"/>
    <w:rsid w:val="004F3C10"/>
    <w:rsid w:val="00501093"/>
    <w:rsid w:val="00509605"/>
    <w:rsid w:val="00511EC2"/>
    <w:rsid w:val="005336EC"/>
    <w:rsid w:val="00536B9E"/>
    <w:rsid w:val="005414D2"/>
    <w:rsid w:val="0054190F"/>
    <w:rsid w:val="0054354A"/>
    <w:rsid w:val="00543828"/>
    <w:rsid w:val="0054486A"/>
    <w:rsid w:val="00545085"/>
    <w:rsid w:val="00554268"/>
    <w:rsid w:val="005622D7"/>
    <w:rsid w:val="00562C2C"/>
    <w:rsid w:val="0056560F"/>
    <w:rsid w:val="005676CF"/>
    <w:rsid w:val="005713A2"/>
    <w:rsid w:val="005733A2"/>
    <w:rsid w:val="00577782"/>
    <w:rsid w:val="00583C96"/>
    <w:rsid w:val="00592403"/>
    <w:rsid w:val="005939FA"/>
    <w:rsid w:val="0059629F"/>
    <w:rsid w:val="005A0A97"/>
    <w:rsid w:val="005A2CB2"/>
    <w:rsid w:val="005A4231"/>
    <w:rsid w:val="005A4BDD"/>
    <w:rsid w:val="005A6915"/>
    <w:rsid w:val="005B067F"/>
    <w:rsid w:val="005B0A74"/>
    <w:rsid w:val="005C17E7"/>
    <w:rsid w:val="005C2618"/>
    <w:rsid w:val="005D4BBC"/>
    <w:rsid w:val="005D7093"/>
    <w:rsid w:val="005D78E8"/>
    <w:rsid w:val="005E234C"/>
    <w:rsid w:val="005E4A3D"/>
    <w:rsid w:val="005F0347"/>
    <w:rsid w:val="005F708E"/>
    <w:rsid w:val="00600D08"/>
    <w:rsid w:val="00607A30"/>
    <w:rsid w:val="00607B1D"/>
    <w:rsid w:val="00610E7B"/>
    <w:rsid w:val="006165B0"/>
    <w:rsid w:val="00621573"/>
    <w:rsid w:val="00625FAF"/>
    <w:rsid w:val="00626E50"/>
    <w:rsid w:val="00642764"/>
    <w:rsid w:val="0064486B"/>
    <w:rsid w:val="0064657B"/>
    <w:rsid w:val="00650C8A"/>
    <w:rsid w:val="006712F0"/>
    <w:rsid w:val="00674094"/>
    <w:rsid w:val="00681AD9"/>
    <w:rsid w:val="00684A3E"/>
    <w:rsid w:val="006868D7"/>
    <w:rsid w:val="00695A3D"/>
    <w:rsid w:val="00696541"/>
    <w:rsid w:val="006A3AFE"/>
    <w:rsid w:val="006A787C"/>
    <w:rsid w:val="006B4B8C"/>
    <w:rsid w:val="006C572D"/>
    <w:rsid w:val="006C6B92"/>
    <w:rsid w:val="006C6BD4"/>
    <w:rsid w:val="006D1419"/>
    <w:rsid w:val="006D4B40"/>
    <w:rsid w:val="006D4DD6"/>
    <w:rsid w:val="006D5560"/>
    <w:rsid w:val="006E1904"/>
    <w:rsid w:val="006E5023"/>
    <w:rsid w:val="00700EF5"/>
    <w:rsid w:val="00703F0B"/>
    <w:rsid w:val="00704F5E"/>
    <w:rsid w:val="00705E52"/>
    <w:rsid w:val="00706A5A"/>
    <w:rsid w:val="0071143C"/>
    <w:rsid w:val="007203B8"/>
    <w:rsid w:val="00723B00"/>
    <w:rsid w:val="00735ECB"/>
    <w:rsid w:val="00741113"/>
    <w:rsid w:val="00741EBB"/>
    <w:rsid w:val="00745E65"/>
    <w:rsid w:val="00745F07"/>
    <w:rsid w:val="007532C3"/>
    <w:rsid w:val="00755863"/>
    <w:rsid w:val="0075638E"/>
    <w:rsid w:val="0076246D"/>
    <w:rsid w:val="00770CCF"/>
    <w:rsid w:val="0077758E"/>
    <w:rsid w:val="00777DCD"/>
    <w:rsid w:val="00782B81"/>
    <w:rsid w:val="0078367C"/>
    <w:rsid w:val="00794E1B"/>
    <w:rsid w:val="007A7C1F"/>
    <w:rsid w:val="007B1852"/>
    <w:rsid w:val="007C6E56"/>
    <w:rsid w:val="007E6432"/>
    <w:rsid w:val="007F1D17"/>
    <w:rsid w:val="007F3EB3"/>
    <w:rsid w:val="007F790A"/>
    <w:rsid w:val="00802F3C"/>
    <w:rsid w:val="00810BB5"/>
    <w:rsid w:val="00821286"/>
    <w:rsid w:val="00825B13"/>
    <w:rsid w:val="00827C0E"/>
    <w:rsid w:val="00834211"/>
    <w:rsid w:val="0083428E"/>
    <w:rsid w:val="00842E1A"/>
    <w:rsid w:val="0084799F"/>
    <w:rsid w:val="0086389A"/>
    <w:rsid w:val="008672DD"/>
    <w:rsid w:val="00872856"/>
    <w:rsid w:val="008731B5"/>
    <w:rsid w:val="008746EA"/>
    <w:rsid w:val="0089270A"/>
    <w:rsid w:val="00894129"/>
    <w:rsid w:val="008970ED"/>
    <w:rsid w:val="008A387A"/>
    <w:rsid w:val="008A3AC0"/>
    <w:rsid w:val="008B7CD8"/>
    <w:rsid w:val="008C792F"/>
    <w:rsid w:val="008C7E15"/>
    <w:rsid w:val="008D209C"/>
    <w:rsid w:val="008D4098"/>
    <w:rsid w:val="008D6497"/>
    <w:rsid w:val="008E2595"/>
    <w:rsid w:val="008E3CA3"/>
    <w:rsid w:val="008F07EF"/>
    <w:rsid w:val="008F1B84"/>
    <w:rsid w:val="00900058"/>
    <w:rsid w:val="009004EA"/>
    <w:rsid w:val="00902532"/>
    <w:rsid w:val="00905134"/>
    <w:rsid w:val="0091721B"/>
    <w:rsid w:val="00917E51"/>
    <w:rsid w:val="00924842"/>
    <w:rsid w:val="00930CBD"/>
    <w:rsid w:val="0093409E"/>
    <w:rsid w:val="00934904"/>
    <w:rsid w:val="00941DF1"/>
    <w:rsid w:val="00945BF2"/>
    <w:rsid w:val="009461A6"/>
    <w:rsid w:val="00946832"/>
    <w:rsid w:val="009509E7"/>
    <w:rsid w:val="00957019"/>
    <w:rsid w:val="00960A0C"/>
    <w:rsid w:val="00964219"/>
    <w:rsid w:val="00965464"/>
    <w:rsid w:val="0096565C"/>
    <w:rsid w:val="00970C8C"/>
    <w:rsid w:val="0097171A"/>
    <w:rsid w:val="009745EB"/>
    <w:rsid w:val="009756D4"/>
    <w:rsid w:val="00976C8A"/>
    <w:rsid w:val="00994D02"/>
    <w:rsid w:val="009D2FAC"/>
    <w:rsid w:val="009D32FB"/>
    <w:rsid w:val="009D783A"/>
    <w:rsid w:val="009E01C1"/>
    <w:rsid w:val="009E2D50"/>
    <w:rsid w:val="009F1520"/>
    <w:rsid w:val="009F20F8"/>
    <w:rsid w:val="00A16E8B"/>
    <w:rsid w:val="00A21C82"/>
    <w:rsid w:val="00A2245C"/>
    <w:rsid w:val="00A25749"/>
    <w:rsid w:val="00A257CB"/>
    <w:rsid w:val="00A31230"/>
    <w:rsid w:val="00A36774"/>
    <w:rsid w:val="00A46C60"/>
    <w:rsid w:val="00A52BE7"/>
    <w:rsid w:val="00A6489F"/>
    <w:rsid w:val="00A726E2"/>
    <w:rsid w:val="00A72F3F"/>
    <w:rsid w:val="00A95542"/>
    <w:rsid w:val="00A960D5"/>
    <w:rsid w:val="00AA0EA1"/>
    <w:rsid w:val="00AB01AC"/>
    <w:rsid w:val="00AB59A8"/>
    <w:rsid w:val="00AB6B47"/>
    <w:rsid w:val="00AC0079"/>
    <w:rsid w:val="00AC7D80"/>
    <w:rsid w:val="00AD6B5A"/>
    <w:rsid w:val="00AE1F14"/>
    <w:rsid w:val="00AE3601"/>
    <w:rsid w:val="00B06487"/>
    <w:rsid w:val="00B176DC"/>
    <w:rsid w:val="00B24CF6"/>
    <w:rsid w:val="00B32A45"/>
    <w:rsid w:val="00B35500"/>
    <w:rsid w:val="00B36BBB"/>
    <w:rsid w:val="00B41928"/>
    <w:rsid w:val="00B4323C"/>
    <w:rsid w:val="00B5627E"/>
    <w:rsid w:val="00B70B3D"/>
    <w:rsid w:val="00B71144"/>
    <w:rsid w:val="00B74C62"/>
    <w:rsid w:val="00B7704B"/>
    <w:rsid w:val="00B87198"/>
    <w:rsid w:val="00B90AAB"/>
    <w:rsid w:val="00BA31F2"/>
    <w:rsid w:val="00BA7956"/>
    <w:rsid w:val="00BA7F70"/>
    <w:rsid w:val="00BB5C9A"/>
    <w:rsid w:val="00BB6DA7"/>
    <w:rsid w:val="00BC1370"/>
    <w:rsid w:val="00C03748"/>
    <w:rsid w:val="00C217DC"/>
    <w:rsid w:val="00C50E2D"/>
    <w:rsid w:val="00C52B2C"/>
    <w:rsid w:val="00C54E98"/>
    <w:rsid w:val="00C55667"/>
    <w:rsid w:val="00C627F0"/>
    <w:rsid w:val="00C63A11"/>
    <w:rsid w:val="00C65EE0"/>
    <w:rsid w:val="00C70603"/>
    <w:rsid w:val="00C729E9"/>
    <w:rsid w:val="00C73228"/>
    <w:rsid w:val="00C73B81"/>
    <w:rsid w:val="00C75468"/>
    <w:rsid w:val="00C77A2A"/>
    <w:rsid w:val="00C80B86"/>
    <w:rsid w:val="00C841C6"/>
    <w:rsid w:val="00C84B88"/>
    <w:rsid w:val="00CA6082"/>
    <w:rsid w:val="00CB23FD"/>
    <w:rsid w:val="00CC1E4C"/>
    <w:rsid w:val="00CD0AE7"/>
    <w:rsid w:val="00CE106F"/>
    <w:rsid w:val="00CE3AD1"/>
    <w:rsid w:val="00CE442D"/>
    <w:rsid w:val="00CE7F39"/>
    <w:rsid w:val="00CF18BD"/>
    <w:rsid w:val="00CF26B9"/>
    <w:rsid w:val="00D026DF"/>
    <w:rsid w:val="00D056DD"/>
    <w:rsid w:val="00D14FF1"/>
    <w:rsid w:val="00D203C2"/>
    <w:rsid w:val="00D22230"/>
    <w:rsid w:val="00D272CC"/>
    <w:rsid w:val="00D32A49"/>
    <w:rsid w:val="00D362F2"/>
    <w:rsid w:val="00D3781E"/>
    <w:rsid w:val="00D406E8"/>
    <w:rsid w:val="00D460BE"/>
    <w:rsid w:val="00D50359"/>
    <w:rsid w:val="00D51DBA"/>
    <w:rsid w:val="00D5394C"/>
    <w:rsid w:val="00D568AD"/>
    <w:rsid w:val="00D56D08"/>
    <w:rsid w:val="00D600AB"/>
    <w:rsid w:val="00D62275"/>
    <w:rsid w:val="00D64BB4"/>
    <w:rsid w:val="00D65BA3"/>
    <w:rsid w:val="00D73AA5"/>
    <w:rsid w:val="00D80573"/>
    <w:rsid w:val="00D82D95"/>
    <w:rsid w:val="00D9153A"/>
    <w:rsid w:val="00DA448F"/>
    <w:rsid w:val="00DA5C58"/>
    <w:rsid w:val="00DB37B2"/>
    <w:rsid w:val="00DB4F54"/>
    <w:rsid w:val="00DB7474"/>
    <w:rsid w:val="00DB7D13"/>
    <w:rsid w:val="00DD08FA"/>
    <w:rsid w:val="00DD0C22"/>
    <w:rsid w:val="00DE1C0C"/>
    <w:rsid w:val="00DF4CD9"/>
    <w:rsid w:val="00DF70F0"/>
    <w:rsid w:val="00E01BB5"/>
    <w:rsid w:val="00E054AE"/>
    <w:rsid w:val="00E05B16"/>
    <w:rsid w:val="00E05DE7"/>
    <w:rsid w:val="00E065A2"/>
    <w:rsid w:val="00E07FE4"/>
    <w:rsid w:val="00E11131"/>
    <w:rsid w:val="00E14ED0"/>
    <w:rsid w:val="00E2310E"/>
    <w:rsid w:val="00E236D3"/>
    <w:rsid w:val="00E259CA"/>
    <w:rsid w:val="00E36B72"/>
    <w:rsid w:val="00E379FC"/>
    <w:rsid w:val="00E37C5B"/>
    <w:rsid w:val="00E42EE7"/>
    <w:rsid w:val="00E44B6D"/>
    <w:rsid w:val="00E5001F"/>
    <w:rsid w:val="00E63568"/>
    <w:rsid w:val="00E640FA"/>
    <w:rsid w:val="00E66959"/>
    <w:rsid w:val="00E701A0"/>
    <w:rsid w:val="00E83C9F"/>
    <w:rsid w:val="00E956A9"/>
    <w:rsid w:val="00E960BA"/>
    <w:rsid w:val="00EA4E29"/>
    <w:rsid w:val="00EA6869"/>
    <w:rsid w:val="00EB1C7D"/>
    <w:rsid w:val="00EB3013"/>
    <w:rsid w:val="00EB5C82"/>
    <w:rsid w:val="00EB75AA"/>
    <w:rsid w:val="00EB7F10"/>
    <w:rsid w:val="00EC64E7"/>
    <w:rsid w:val="00EE1C1F"/>
    <w:rsid w:val="00EE2AAB"/>
    <w:rsid w:val="00F00420"/>
    <w:rsid w:val="00F0353B"/>
    <w:rsid w:val="00F04400"/>
    <w:rsid w:val="00F06B31"/>
    <w:rsid w:val="00F17143"/>
    <w:rsid w:val="00F33F29"/>
    <w:rsid w:val="00F42B82"/>
    <w:rsid w:val="00F4452D"/>
    <w:rsid w:val="00F620BE"/>
    <w:rsid w:val="00F65EAF"/>
    <w:rsid w:val="00F8260C"/>
    <w:rsid w:val="00F83299"/>
    <w:rsid w:val="00F83ABD"/>
    <w:rsid w:val="00F85225"/>
    <w:rsid w:val="00F86F4D"/>
    <w:rsid w:val="00F8754C"/>
    <w:rsid w:val="00FA3200"/>
    <w:rsid w:val="00FA59DF"/>
    <w:rsid w:val="00FA690D"/>
    <w:rsid w:val="00FC620D"/>
    <w:rsid w:val="00FC7F5C"/>
    <w:rsid w:val="00FD29D5"/>
    <w:rsid w:val="00FD7F49"/>
    <w:rsid w:val="00FE0132"/>
    <w:rsid w:val="00FE09A2"/>
    <w:rsid w:val="00FE4CA1"/>
    <w:rsid w:val="00FF397E"/>
    <w:rsid w:val="03368DF0"/>
    <w:rsid w:val="034BE64F"/>
    <w:rsid w:val="03A5E205"/>
    <w:rsid w:val="076817C8"/>
    <w:rsid w:val="080E919F"/>
    <w:rsid w:val="09791A04"/>
    <w:rsid w:val="09AE54D0"/>
    <w:rsid w:val="0A4558DF"/>
    <w:rsid w:val="0A49C663"/>
    <w:rsid w:val="0B1EA0B1"/>
    <w:rsid w:val="0C3BDEE3"/>
    <w:rsid w:val="0C7541F9"/>
    <w:rsid w:val="0CCE8D00"/>
    <w:rsid w:val="0CF1C2E6"/>
    <w:rsid w:val="0D0097D2"/>
    <w:rsid w:val="0D2863BD"/>
    <w:rsid w:val="0D4BD7D7"/>
    <w:rsid w:val="0E8187AF"/>
    <w:rsid w:val="0FB574CC"/>
    <w:rsid w:val="125B8915"/>
    <w:rsid w:val="12AFBE0A"/>
    <w:rsid w:val="12B15634"/>
    <w:rsid w:val="12D9C12A"/>
    <w:rsid w:val="1397DC78"/>
    <w:rsid w:val="13EDD1FF"/>
    <w:rsid w:val="13F7EE4F"/>
    <w:rsid w:val="1512E3DB"/>
    <w:rsid w:val="153AF729"/>
    <w:rsid w:val="15E2288E"/>
    <w:rsid w:val="197154C1"/>
    <w:rsid w:val="1CEC5E23"/>
    <w:rsid w:val="1E46EE99"/>
    <w:rsid w:val="1ECBC90F"/>
    <w:rsid w:val="1EEE24C2"/>
    <w:rsid w:val="20996A8D"/>
    <w:rsid w:val="2103A449"/>
    <w:rsid w:val="2126DF6C"/>
    <w:rsid w:val="21E4F2D0"/>
    <w:rsid w:val="22207513"/>
    <w:rsid w:val="23EA1AB4"/>
    <w:rsid w:val="2575C282"/>
    <w:rsid w:val="25E29DFD"/>
    <w:rsid w:val="26CC53C9"/>
    <w:rsid w:val="27BD87DD"/>
    <w:rsid w:val="298425CC"/>
    <w:rsid w:val="2BB2B7B1"/>
    <w:rsid w:val="2D694274"/>
    <w:rsid w:val="305A0DB2"/>
    <w:rsid w:val="3076295D"/>
    <w:rsid w:val="32DA4D91"/>
    <w:rsid w:val="32F25050"/>
    <w:rsid w:val="33DF3717"/>
    <w:rsid w:val="344F4CBC"/>
    <w:rsid w:val="35BA15BB"/>
    <w:rsid w:val="385D8578"/>
    <w:rsid w:val="3C221A9E"/>
    <w:rsid w:val="3D3EF68D"/>
    <w:rsid w:val="3DABFF43"/>
    <w:rsid w:val="3DB386FD"/>
    <w:rsid w:val="3DEF9447"/>
    <w:rsid w:val="40BDB82B"/>
    <w:rsid w:val="411AFAF6"/>
    <w:rsid w:val="4163F46F"/>
    <w:rsid w:val="41FBD71E"/>
    <w:rsid w:val="42149F08"/>
    <w:rsid w:val="42481C1E"/>
    <w:rsid w:val="425A4FEE"/>
    <w:rsid w:val="426049F0"/>
    <w:rsid w:val="434E12C8"/>
    <w:rsid w:val="43CFE9BE"/>
    <w:rsid w:val="44826CD4"/>
    <w:rsid w:val="461E3D35"/>
    <w:rsid w:val="469E670D"/>
    <w:rsid w:val="46F4F4E4"/>
    <w:rsid w:val="47B469DE"/>
    <w:rsid w:val="47BA0D96"/>
    <w:rsid w:val="4861079F"/>
    <w:rsid w:val="4948F2E9"/>
    <w:rsid w:val="4A1F0148"/>
    <w:rsid w:val="4A3D6BD6"/>
    <w:rsid w:val="4AEAD619"/>
    <w:rsid w:val="4B27ADAC"/>
    <w:rsid w:val="4BA57D03"/>
    <w:rsid w:val="4D885942"/>
    <w:rsid w:val="4DB65603"/>
    <w:rsid w:val="52EFC1DB"/>
    <w:rsid w:val="53413164"/>
    <w:rsid w:val="54395217"/>
    <w:rsid w:val="57531672"/>
    <w:rsid w:val="592000BD"/>
    <w:rsid w:val="5982B295"/>
    <w:rsid w:val="5990AFA1"/>
    <w:rsid w:val="59E72AD5"/>
    <w:rsid w:val="5A148D78"/>
    <w:rsid w:val="5B025BA4"/>
    <w:rsid w:val="5B86B3CE"/>
    <w:rsid w:val="5C62BF89"/>
    <w:rsid w:val="5DD749D2"/>
    <w:rsid w:val="6065250E"/>
    <w:rsid w:val="61188AF7"/>
    <w:rsid w:val="618C0F0E"/>
    <w:rsid w:val="6258F8A1"/>
    <w:rsid w:val="64BC4F9B"/>
    <w:rsid w:val="663B5B58"/>
    <w:rsid w:val="6848CB87"/>
    <w:rsid w:val="690E20C5"/>
    <w:rsid w:val="6BEA2FC5"/>
    <w:rsid w:val="6C103D75"/>
    <w:rsid w:val="6C530A6A"/>
    <w:rsid w:val="6C6B6769"/>
    <w:rsid w:val="6D18DB50"/>
    <w:rsid w:val="6E1C049A"/>
    <w:rsid w:val="6E79C3B3"/>
    <w:rsid w:val="70903F59"/>
    <w:rsid w:val="7261C410"/>
    <w:rsid w:val="75270BE4"/>
    <w:rsid w:val="7548B2A1"/>
    <w:rsid w:val="757C1F38"/>
    <w:rsid w:val="77675E92"/>
    <w:rsid w:val="7A05F02A"/>
    <w:rsid w:val="7A911CA3"/>
    <w:rsid w:val="7CA1D6CD"/>
    <w:rsid w:val="7CFE7538"/>
    <w:rsid w:val="7D3940DC"/>
    <w:rsid w:val="7E40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DAF31"/>
  <w15:docId w15:val="{C0FC50EF-2B20-4748-9477-C619D438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B7159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3889"/>
    <w:pPr>
      <w:keepNext/>
      <w:keepLines/>
      <w:spacing w:before="120" w:after="360"/>
      <w:outlineLvl w:val="0"/>
    </w:pPr>
    <w:rPr>
      <w:rFonts w:eastAsiaTheme="majorEastAsia" w:cstheme="majorBidi"/>
      <w:b/>
      <w:bCs/>
      <w:color w:val="0070F1"/>
      <w:sz w:val="44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B7159"/>
    <w:pPr>
      <w:spacing w:after="20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55F06"/>
    <w:pPr>
      <w:spacing w:after="120"/>
      <w:outlineLvl w:val="2"/>
    </w:pPr>
    <w:rPr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3889"/>
    <w:pPr>
      <w:framePr w:hSpace="180" w:wrap="around" w:vAnchor="text" w:hAnchor="text" w:y="1"/>
      <w:spacing w:before="120"/>
      <w:suppressOverlap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16DB"/>
  </w:style>
  <w:style w:type="paragraph" w:styleId="Footer">
    <w:name w:val="footer"/>
    <w:basedOn w:val="Normal"/>
    <w:link w:val="FooterChar"/>
    <w:uiPriority w:val="99"/>
    <w:unhideWhenUsed/>
    <w:qFormat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16DB"/>
  </w:style>
  <w:style w:type="paragraph" w:styleId="BalloonText">
    <w:name w:val="Balloon Text"/>
    <w:basedOn w:val="Normal"/>
    <w:link w:val="BalloonTextChar"/>
    <w:uiPriority w:val="99"/>
    <w:semiHidden/>
    <w:unhideWhenUsed/>
    <w:rsid w:val="003916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3889"/>
    <w:rPr>
      <w:rFonts w:eastAsiaTheme="majorEastAsia" w:cstheme="majorBidi"/>
      <w:b/>
      <w:bCs/>
      <w:color w:val="0070F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7159"/>
    <w:rPr>
      <w:rFonts w:eastAsiaTheme="majorEastAsia" w:cstheme="majorBidi"/>
      <w:b/>
      <w:color w:val="0092C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5F06"/>
    <w:rPr>
      <w:rFonts w:eastAsiaTheme="majorEastAsia" w:cstheme="majorBidi"/>
      <w:b/>
      <w:bCs/>
      <w:color w:val="0092C7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C3889"/>
    <w:rPr>
      <w:rFonts w:eastAsiaTheme="majorEastAsia" w:cstheme="majorBidi"/>
      <w:b/>
      <w:bCs/>
      <w:iCs/>
    </w:rPr>
  </w:style>
  <w:style w:type="paragraph" w:styleId="ListParagraph">
    <w:name w:val="List Paragraph"/>
    <w:basedOn w:val="Normal"/>
    <w:link w:val="ListParagraphChar"/>
    <w:uiPriority w:val="34"/>
    <w:qFormat/>
    <w:rsid w:val="001B7159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1B7159"/>
    <w:pPr>
      <w:numPr>
        <w:numId w:val="1"/>
      </w:numPr>
    </w:pPr>
  </w:style>
  <w:style w:type="paragraph" w:customStyle="1" w:styleId="Numberedlist">
    <w:name w:val="Numbered list"/>
    <w:basedOn w:val="Bullets"/>
    <w:link w:val="NumberedlistChar"/>
    <w:qFormat/>
    <w:rsid w:val="001B7159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7159"/>
  </w:style>
  <w:style w:type="character" w:customStyle="1" w:styleId="BulletsChar">
    <w:name w:val="Bullets Char"/>
    <w:basedOn w:val="ListParagraphChar"/>
    <w:link w:val="Bullets"/>
    <w:rsid w:val="001B7159"/>
  </w:style>
  <w:style w:type="table" w:styleId="TableGrid">
    <w:name w:val="Table Grid"/>
    <w:basedOn w:val="TableNormal"/>
    <w:uiPriority w:val="59"/>
    <w:rsid w:val="001B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Char">
    <w:name w:val="Numbered list Char"/>
    <w:basedOn w:val="BulletsChar"/>
    <w:link w:val="Numberedlist"/>
    <w:rsid w:val="001B7159"/>
  </w:style>
  <w:style w:type="paragraph" w:customStyle="1" w:styleId="Tableheading">
    <w:name w:val="Table heading"/>
    <w:basedOn w:val="Normal"/>
    <w:link w:val="TableheadingChar"/>
    <w:qFormat/>
    <w:rsid w:val="00610E7B"/>
    <w:pPr>
      <w:spacing w:before="120"/>
    </w:pPr>
    <w:rPr>
      <w:b/>
      <w:color w:val="0070F1"/>
      <w:sz w:val="24"/>
    </w:rPr>
  </w:style>
  <w:style w:type="paragraph" w:customStyle="1" w:styleId="Tablebody">
    <w:name w:val="Table body"/>
    <w:basedOn w:val="Normal"/>
    <w:link w:val="TablebodyChar"/>
    <w:qFormat/>
    <w:rsid w:val="00AC0079"/>
    <w:pPr>
      <w:spacing w:before="40" w:after="0"/>
    </w:pPr>
  </w:style>
  <w:style w:type="character" w:customStyle="1" w:styleId="TableheadingChar">
    <w:name w:val="Table heading Char"/>
    <w:basedOn w:val="DefaultParagraphFont"/>
    <w:link w:val="Tableheading"/>
    <w:rsid w:val="00610E7B"/>
    <w:rPr>
      <w:b/>
      <w:color w:val="0070F1"/>
      <w:sz w:val="24"/>
    </w:rPr>
  </w:style>
  <w:style w:type="paragraph" w:customStyle="1" w:styleId="Tablesubheading">
    <w:name w:val="Table subheading"/>
    <w:basedOn w:val="Tableheading"/>
    <w:link w:val="TablesubheadingChar"/>
    <w:autoRedefine/>
    <w:qFormat/>
    <w:rsid w:val="008E2595"/>
    <w:pPr>
      <w:spacing w:before="40"/>
    </w:pPr>
    <w:rPr>
      <w:color w:val="auto"/>
      <w:sz w:val="22"/>
    </w:rPr>
  </w:style>
  <w:style w:type="character" w:customStyle="1" w:styleId="TablebodyChar">
    <w:name w:val="Table body Char"/>
    <w:basedOn w:val="DefaultParagraphFont"/>
    <w:link w:val="Tablebody"/>
    <w:rsid w:val="00AC0079"/>
  </w:style>
  <w:style w:type="paragraph" w:customStyle="1" w:styleId="Title1">
    <w:name w:val="Title1"/>
    <w:basedOn w:val="Heading1"/>
    <w:link w:val="TITLEChar"/>
    <w:qFormat/>
    <w:rsid w:val="008E3CA3"/>
    <w:rPr>
      <w:sz w:val="80"/>
      <w:szCs w:val="80"/>
    </w:rPr>
  </w:style>
  <w:style w:type="character" w:customStyle="1" w:styleId="TablesubheadingChar">
    <w:name w:val="Table subheading Char"/>
    <w:basedOn w:val="TableheadingChar"/>
    <w:link w:val="Tablesubheading"/>
    <w:rsid w:val="008E2595"/>
    <w:rPr>
      <w:b/>
      <w:color w:val="0092C7"/>
      <w:sz w:val="24"/>
    </w:rPr>
  </w:style>
  <w:style w:type="paragraph" w:customStyle="1" w:styleId="Subtitle1">
    <w:name w:val="Subtitle1"/>
    <w:basedOn w:val="Normal"/>
    <w:link w:val="SUBTITLEChar"/>
    <w:qFormat/>
    <w:rsid w:val="0037388E"/>
    <w:rPr>
      <w:sz w:val="44"/>
      <w:szCs w:val="44"/>
    </w:rPr>
  </w:style>
  <w:style w:type="character" w:customStyle="1" w:styleId="TITLEChar">
    <w:name w:val="TITLE Char"/>
    <w:basedOn w:val="Heading1Char"/>
    <w:link w:val="Title1"/>
    <w:rsid w:val="008E3CA3"/>
    <w:rPr>
      <w:rFonts w:eastAsiaTheme="majorEastAsia" w:cstheme="majorBidi"/>
      <w:b/>
      <w:bCs/>
      <w:color w:val="0070F1"/>
      <w:sz w:val="80"/>
      <w:szCs w:val="80"/>
    </w:rPr>
  </w:style>
  <w:style w:type="character" w:customStyle="1" w:styleId="SUBTITLEChar">
    <w:name w:val="SUBTITLE Char"/>
    <w:basedOn w:val="DefaultParagraphFont"/>
    <w:link w:val="Subtitle1"/>
    <w:rsid w:val="0037388E"/>
    <w:rPr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902532"/>
    <w:rPr>
      <w:color w:val="0070F1" w:themeColor="hyperlink"/>
      <w:u w:val="single"/>
    </w:rPr>
  </w:style>
  <w:style w:type="table" w:customStyle="1" w:styleId="Style1">
    <w:name w:val="Style1"/>
    <w:basedOn w:val="TableNormal"/>
    <w:uiPriority w:val="99"/>
    <w:rsid w:val="005F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CE3A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D4F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D4F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D4F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D4FB" w:themeFill="accent4"/>
      </w:tcPr>
    </w:tblStylePr>
    <w:tblStylePr w:type="band1Vert">
      <w:tblPr/>
      <w:tcPr>
        <w:shd w:val="clear" w:color="auto" w:fill="DFEDFD" w:themeFill="accent4" w:themeFillTint="66"/>
      </w:tcPr>
    </w:tblStylePr>
    <w:tblStylePr w:type="band1Horz">
      <w:tblPr/>
      <w:tcPr>
        <w:shd w:val="clear" w:color="auto" w:fill="DFEDFD" w:themeFill="accent4" w:themeFillTint="66"/>
      </w:tcPr>
    </w:tblStylePr>
  </w:style>
  <w:style w:type="table" w:styleId="LightList">
    <w:name w:val="Light List"/>
    <w:basedOn w:val="TableNormal"/>
    <w:uiPriority w:val="61"/>
    <w:rsid w:val="00CE3AD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9D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D056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D056DD"/>
    <w:pPr>
      <w:spacing w:after="0"/>
    </w:pPr>
    <w:rPr>
      <w:rFonts w:ascii="Arial Narrow" w:eastAsia="Calibri" w:hAnsi="Arial Narrow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6DD"/>
    <w:rPr>
      <w:rFonts w:ascii="Arial Narrow" w:eastAsia="Calibri" w:hAnsi="Arial Narrow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56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749"/>
    <w:pPr>
      <w:spacing w:after="12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749"/>
    <w:rPr>
      <w:rFonts w:ascii="Arial Narrow" w:eastAsia="Calibri" w:hAnsi="Arial Narrow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5622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h-TH"/>
    </w:rPr>
  </w:style>
  <w:style w:type="paragraph" w:styleId="Revision">
    <w:name w:val="Revision"/>
    <w:hidden/>
    <w:uiPriority w:val="99"/>
    <w:semiHidden/>
    <w:rsid w:val="003116E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A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7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6832"/>
    <w:rPr>
      <w:color w:val="23276C" w:themeColor="followedHyperlink"/>
      <w:u w:val="single"/>
    </w:rPr>
  </w:style>
  <w:style w:type="character" w:customStyle="1" w:styleId="normaltextrun">
    <w:name w:val="normaltextrun"/>
    <w:basedOn w:val="DefaultParagraphFont"/>
    <w:rsid w:val="003C5691"/>
  </w:style>
  <w:style w:type="character" w:customStyle="1" w:styleId="eop">
    <w:name w:val="eop"/>
    <w:basedOn w:val="DefaultParagraphFont"/>
    <w:rsid w:val="003C5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4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bconnect.beyondblue.org.au/Pages/beyondblue-Values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hrome-extension://efaidnbmnnnibpcajpcglclefindmkaj/http:/bbconnect.beyondblue.org.au/bbConnectDocs/bbHRDocuments/Performance,%20planning%20and%20reflection/BB_Thrive_framework_final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bconnect.beyondblue.org.au/Pages/Performance-Review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usso\Beyond%20Blue%20Limited\BB%20-%20Office%20templates\Beyond%20Blue%20standard%20document%20template.dotx" TargetMode="External"/></Relationships>
</file>

<file path=word/theme/theme1.xml><?xml version="1.0" encoding="utf-8"?>
<a:theme xmlns:a="http://schemas.openxmlformats.org/drawingml/2006/main" name="beyondblue theme">
  <a:themeElements>
    <a:clrScheme name="Beyond Blue colour 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0F1"/>
      </a:accent1>
      <a:accent2>
        <a:srgbClr val="ED1A60"/>
      </a:accent2>
      <a:accent3>
        <a:srgbClr val="FFB100"/>
      </a:accent3>
      <a:accent4>
        <a:srgbClr val="B2D4FB"/>
      </a:accent4>
      <a:accent5>
        <a:srgbClr val="E5F1FE"/>
      </a:accent5>
      <a:accent6>
        <a:srgbClr val="23276C"/>
      </a:accent6>
      <a:hlink>
        <a:srgbClr val="0070F1"/>
      </a:hlink>
      <a:folHlink>
        <a:srgbClr val="2327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5bb427-4e06-488c-b318-39789298ea75">
      <UserInfo>
        <DisplayName>Melissa Gillespie</DisplayName>
        <AccountId>127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79962B833A4E986EED94DE05C782" ma:contentTypeVersion="5" ma:contentTypeDescription="Create a new document." ma:contentTypeScope="" ma:versionID="d80011a9d9776ae650321646a354e559">
  <xsd:schema xmlns:xsd="http://www.w3.org/2001/XMLSchema" xmlns:xs="http://www.w3.org/2001/XMLSchema" xmlns:p="http://schemas.microsoft.com/office/2006/metadata/properties" xmlns:ns2="a35bb427-4e06-488c-b318-39789298ea75" xmlns:ns3="b2513716-800b-4f6d-9069-8e5351ecaf95" targetNamespace="http://schemas.microsoft.com/office/2006/metadata/properties" ma:root="true" ma:fieldsID="cfc5ea271ef847ee3c243ddfc4424554" ns2:_="" ns3:_="">
    <xsd:import namespace="a35bb427-4e06-488c-b318-39789298ea75"/>
    <xsd:import namespace="b2513716-800b-4f6d-9069-8e5351ecaf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bb427-4e06-488c-b318-39789298ea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13716-800b-4f6d-9069-8e5351eca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E9457-FEDB-4A05-8456-E718B0338CC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a35bb427-4e06-488c-b318-39789298ea75"/>
    <ds:schemaRef ds:uri="http://purl.org/dc/dcmitype/"/>
    <ds:schemaRef ds:uri="http://schemas.openxmlformats.org/package/2006/metadata/core-properties"/>
    <ds:schemaRef ds:uri="b2513716-800b-4f6d-9069-8e5351ecaf95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6B02DA0-67CA-4C97-A6A9-7FF6D3FDC4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4E7C86-A9D5-4513-ACCA-B6767E0AC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bb427-4e06-488c-b318-39789298ea75"/>
    <ds:schemaRef ds:uri="b2513716-800b-4f6d-9069-8e5351eca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1A454-C716-4572-8432-0F41ADC7EC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Beyond Blue standard document template</Template>
  <TotalTime>1</TotalTime>
  <Pages>4</Pages>
  <Words>1154</Words>
  <Characters>6584</Characters>
  <Application>Microsoft Office Word</Application>
  <DocSecurity>0</DocSecurity>
  <Lines>54</Lines>
  <Paragraphs>15</Paragraphs>
  <ScaleCrop>false</ScaleCrop>
  <Company>Microsoft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100_Employee Experience and Wellness Lead_31032022</dc:title>
  <dc:subject/>
  <dc:creator>Aimee Bailey</dc:creator>
  <cp:keywords/>
  <cp:lastModifiedBy>Renee Russo</cp:lastModifiedBy>
  <cp:revision>2</cp:revision>
  <cp:lastPrinted>2023-09-19T03:01:00Z</cp:lastPrinted>
  <dcterms:created xsi:type="dcterms:W3CDTF">2023-11-20T22:13:00Z</dcterms:created>
  <dcterms:modified xsi:type="dcterms:W3CDTF">2023-11-20T22:13:00Z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Month">
    <vt:lpwstr>355;#01 (January)|be27344d-73ee-4702-933c-63201e4a8e1c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0x010100340F79962B833A4E986EED94DE05C782</vt:lpwstr>
  </property>
  <property fmtid="{D5CDD505-2E9C-101B-9397-08002B2CF9AE}" pid="7" name="bbYear">
    <vt:lpwstr>238;#2014|0a695059-fe51-46c3-b801-cb6827743fab</vt:lpwstr>
  </property>
  <property fmtid="{D5CDD505-2E9C-101B-9397-08002B2CF9AE}" pid="8" name="TemplateUrl">
    <vt:lpwstr/>
  </property>
  <property fmtid="{D5CDD505-2E9C-101B-9397-08002B2CF9AE}" pid="9" name="_dlc_DocIdItemGuid">
    <vt:lpwstr>4c76f2ac-2dae-4ef4-a10d-079bb329c90b</vt:lpwstr>
  </property>
  <property fmtid="{D5CDD505-2E9C-101B-9397-08002B2CF9AE}" pid="10" name="_CopySource">
    <vt:lpwstr>https://connect.mercer.com/sites/Beyond Blue Position Descriptions/Shared Documents/Mercer_Completed PDs/100/People and Culture/Position Description 100_Employee Experience and Wellness Lead_31032022.docx</vt:lpwstr>
  </property>
  <property fmtid="{D5CDD505-2E9C-101B-9397-08002B2CF9AE}" pid="11" name="MSIP_Label_38f1469a-2c2a-4aee-b92b-090d4c5468ff_Enabled">
    <vt:lpwstr>true</vt:lpwstr>
  </property>
  <property fmtid="{D5CDD505-2E9C-101B-9397-08002B2CF9AE}" pid="12" name="MSIP_Label_38f1469a-2c2a-4aee-b92b-090d4c5468ff_SetDate">
    <vt:lpwstr>2022-03-31T10:49:15Z</vt:lpwstr>
  </property>
  <property fmtid="{D5CDD505-2E9C-101B-9397-08002B2CF9AE}" pid="13" name="MSIP_Label_38f1469a-2c2a-4aee-b92b-090d4c5468ff_Method">
    <vt:lpwstr>Standard</vt:lpwstr>
  </property>
  <property fmtid="{D5CDD505-2E9C-101B-9397-08002B2CF9AE}" pid="14" name="MSIP_Label_38f1469a-2c2a-4aee-b92b-090d4c5468ff_Name">
    <vt:lpwstr>Confidential - Unmarked</vt:lpwstr>
  </property>
  <property fmtid="{D5CDD505-2E9C-101B-9397-08002B2CF9AE}" pid="15" name="MSIP_Label_38f1469a-2c2a-4aee-b92b-090d4c5468ff_SiteId">
    <vt:lpwstr>2a6e6092-73e4-4752-b1a5-477a17f5056d</vt:lpwstr>
  </property>
  <property fmtid="{D5CDD505-2E9C-101B-9397-08002B2CF9AE}" pid="16" name="MSIP_Label_38f1469a-2c2a-4aee-b92b-090d4c5468ff_ActionId">
    <vt:lpwstr>2e26d226-d614-49ef-b0fc-c6320d62e357</vt:lpwstr>
  </property>
  <property fmtid="{D5CDD505-2E9C-101B-9397-08002B2CF9AE}" pid="17" name="MSIP_Label_38f1469a-2c2a-4aee-b92b-090d4c5468ff_ContentBits">
    <vt:lpwstr>0</vt:lpwstr>
  </property>
</Properties>
</file>