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A749D">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7E4030D6">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40BDB82B" w:rsidP="00CC1E4C">
            <w:pPr>
              <w:pStyle w:val="Tableheading"/>
            </w:pPr>
            <w:r w:rsidRPr="40BDB82B">
              <w:rPr>
                <w:color w:val="000000" w:themeColor="text2"/>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0A2FE4CF" w:rsidR="00577782" w:rsidRPr="00B71144" w:rsidRDefault="004E09DF" w:rsidP="40BDB82B">
            <w:pPr>
              <w:rPr>
                <w:b/>
                <w:bCs/>
              </w:rPr>
            </w:pPr>
            <w:r>
              <w:rPr>
                <w:b/>
                <w:bCs/>
              </w:rPr>
              <w:t xml:space="preserve">Workforce </w:t>
            </w:r>
            <w:r w:rsidR="00FB0A8E">
              <w:rPr>
                <w:b/>
                <w:bCs/>
              </w:rPr>
              <w:t>Diversity and Inclusion</w:t>
            </w:r>
            <w:r w:rsidR="40BDB82B" w:rsidRPr="40BDB82B">
              <w:rPr>
                <w:b/>
                <w:bCs/>
              </w:rPr>
              <w:t xml:space="preserve"> Lead</w:t>
            </w:r>
          </w:p>
        </w:tc>
      </w:tr>
      <w:tr w:rsidR="006A3AFE" w14:paraId="15ADCA9C" w14:textId="77777777" w:rsidTr="7E4030D6">
        <w:tc>
          <w:tcPr>
            <w:tcW w:w="2830" w:type="dxa"/>
            <w:tcBorders>
              <w:top w:val="single" w:sz="12" w:space="0" w:color="0070F1" w:themeColor="accent1"/>
            </w:tcBorders>
            <w:shd w:val="clear" w:color="auto" w:fill="E5F1FE" w:themeFill="accent5"/>
          </w:tcPr>
          <w:p w14:paraId="33B0C656" w14:textId="3C879D7A" w:rsidR="006A3AFE" w:rsidRPr="00700EF5" w:rsidRDefault="40BDB82B" w:rsidP="40BDB82B">
            <w:pPr>
              <w:pStyle w:val="Tableheading"/>
              <w:rPr>
                <w:color w:val="000000" w:themeColor="text2"/>
              </w:rPr>
            </w:pPr>
            <w:r w:rsidRPr="40BDB82B">
              <w:rPr>
                <w:color w:val="000000" w:themeColor="text2"/>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43AF4DB5" w:rsidR="006A3AFE" w:rsidRDefault="40BDB82B" w:rsidP="001A7AE8">
            <w:r>
              <w:t>Head of People and Culture</w:t>
            </w:r>
          </w:p>
        </w:tc>
      </w:tr>
      <w:tr w:rsidR="00EC64E7" w14:paraId="353F2BC5" w14:textId="77777777" w:rsidTr="7E4030D6">
        <w:tc>
          <w:tcPr>
            <w:tcW w:w="2830" w:type="dxa"/>
            <w:shd w:val="clear" w:color="auto" w:fill="E5F1FE" w:themeFill="accent5"/>
          </w:tcPr>
          <w:p w14:paraId="48853AD6" w14:textId="77777777" w:rsidR="00EC64E7" w:rsidRPr="00700EF5" w:rsidRDefault="40BDB82B" w:rsidP="40BDB82B">
            <w:pPr>
              <w:pStyle w:val="Tableheading"/>
              <w:rPr>
                <w:color w:val="000000" w:themeColor="text2"/>
              </w:rPr>
            </w:pPr>
            <w:r w:rsidRPr="40BDB82B">
              <w:rPr>
                <w:color w:val="000000" w:themeColor="text2"/>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2"/>
            <w:vAlign w:val="center"/>
          </w:tcPr>
          <w:p w14:paraId="58EDF4C8" w14:textId="15A8CDE7" w:rsidR="00EC64E7" w:rsidRDefault="00EC64E7" w:rsidP="001A7AE8">
            <w:r>
              <w:t xml:space="preserve">3 </w:t>
            </w:r>
            <w:sdt>
              <w:sdtPr>
                <w:id w:val="-2126386698"/>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3BD48183" w14:textId="26B1A6D4" w:rsidR="00EC64E7" w:rsidRDefault="00EC64E7" w:rsidP="001A7AE8">
            <w:r>
              <w:t xml:space="preserve">4 </w:t>
            </w:r>
            <w:sdt>
              <w:sdtPr>
                <w:id w:val="-1711181003"/>
                <w15:color w:val="0070F1"/>
                <w14:checkbox>
                  <w14:checked w14:val="1"/>
                  <w14:checkedState w14:val="00FC" w14:font="Wingdings"/>
                  <w14:uncheckedState w14:val="2610" w14:font="MS Gothic"/>
                </w14:checkbox>
              </w:sdtPr>
              <w:sdtEndPr/>
              <w:sdtContent>
                <w:r w:rsidR="00E44B6D">
                  <w:rPr>
                    <w:rFonts w:ascii="Wingdings" w:eastAsia="Wingdings" w:hAnsi="Wingdings" w:cs="Wingdings"/>
                  </w:rPr>
                  <w:t>ü</w:t>
                </w:r>
              </w:sdtContent>
            </w:sdt>
          </w:p>
        </w:tc>
        <w:tc>
          <w:tcPr>
            <w:tcW w:w="1360" w:type="dxa"/>
            <w:shd w:val="clear" w:color="auto" w:fill="FFFFFF" w:themeFill="background2"/>
            <w:vAlign w:val="center"/>
          </w:tcPr>
          <w:p w14:paraId="3A2EECCC" w14:textId="19668A1B" w:rsidR="00EC64E7" w:rsidRDefault="00EC64E7" w:rsidP="001A7AE8"/>
        </w:tc>
      </w:tr>
      <w:tr w:rsidR="00577782" w14:paraId="47F0A737" w14:textId="77777777" w:rsidTr="7E4030D6">
        <w:tc>
          <w:tcPr>
            <w:tcW w:w="2830" w:type="dxa"/>
            <w:shd w:val="clear" w:color="auto" w:fill="E5F1FE" w:themeFill="accent5"/>
          </w:tcPr>
          <w:p w14:paraId="674597AA" w14:textId="03ED55FD" w:rsidR="00577782" w:rsidRPr="00700EF5" w:rsidRDefault="40BDB82B" w:rsidP="40BDB82B">
            <w:pPr>
              <w:pStyle w:val="Tableheading"/>
              <w:rPr>
                <w:color w:val="000000" w:themeColor="text2"/>
              </w:rPr>
            </w:pPr>
            <w:r w:rsidRPr="40BDB82B">
              <w:rPr>
                <w:color w:val="000000" w:themeColor="text2"/>
              </w:rPr>
              <w:t>Group and team</w:t>
            </w:r>
          </w:p>
        </w:tc>
        <w:tc>
          <w:tcPr>
            <w:tcW w:w="6798" w:type="dxa"/>
            <w:gridSpan w:val="5"/>
            <w:shd w:val="clear" w:color="auto" w:fill="FFFFFF" w:themeFill="background2"/>
            <w:vAlign w:val="center"/>
          </w:tcPr>
          <w:p w14:paraId="73D83185" w14:textId="6C6783E9" w:rsidR="00577782" w:rsidRDefault="40BDB82B" w:rsidP="001A7AE8">
            <w:r>
              <w:t>People and Culture</w:t>
            </w:r>
          </w:p>
        </w:tc>
      </w:tr>
      <w:tr w:rsidR="009E01C1" w14:paraId="2A0524F8" w14:textId="77777777" w:rsidTr="7E4030D6">
        <w:tc>
          <w:tcPr>
            <w:tcW w:w="2830" w:type="dxa"/>
            <w:shd w:val="clear" w:color="auto" w:fill="E5F1FE" w:themeFill="accent5"/>
          </w:tcPr>
          <w:p w14:paraId="1A3A1614" w14:textId="6D95E4FC" w:rsidR="009E01C1" w:rsidRPr="00700EF5" w:rsidRDefault="40BDB82B" w:rsidP="40BDB82B">
            <w:pPr>
              <w:pStyle w:val="Tableheading"/>
              <w:rPr>
                <w:color w:val="000000" w:themeColor="text2"/>
              </w:rPr>
            </w:pPr>
            <w:r w:rsidRPr="40BDB82B">
              <w:rPr>
                <w:color w:val="000000" w:themeColor="text2"/>
              </w:rPr>
              <w:t>Location</w:t>
            </w:r>
          </w:p>
        </w:tc>
        <w:tc>
          <w:tcPr>
            <w:tcW w:w="6798" w:type="dxa"/>
            <w:gridSpan w:val="5"/>
            <w:shd w:val="clear" w:color="auto" w:fill="FFFFFF" w:themeFill="background2"/>
            <w:vAlign w:val="center"/>
          </w:tcPr>
          <w:p w14:paraId="416DBD54" w14:textId="4241542D" w:rsidR="001A7AE8" w:rsidRDefault="40BDB82B" w:rsidP="001A7AE8">
            <w:r>
              <w:t>Onsite at the Hub in Melbourne CBD</w:t>
            </w:r>
            <w:r w:rsidR="0023597D">
              <w:t>/</w:t>
            </w:r>
            <w:r>
              <w:t>Hybrid</w:t>
            </w:r>
          </w:p>
        </w:tc>
      </w:tr>
      <w:tr w:rsidR="001A7AE8" w14:paraId="5D785AE2" w14:textId="77777777" w:rsidTr="7E4030D6">
        <w:tc>
          <w:tcPr>
            <w:tcW w:w="2830" w:type="dxa"/>
            <w:shd w:val="clear" w:color="auto" w:fill="E5F1FE" w:themeFill="accent5"/>
          </w:tcPr>
          <w:p w14:paraId="38FB417D" w14:textId="29373EAB" w:rsidR="001A7AE8" w:rsidRPr="00E44B6D" w:rsidRDefault="40BDB82B" w:rsidP="7E4030D6">
            <w:pPr>
              <w:pStyle w:val="Tableheading"/>
              <w:rPr>
                <w:color w:val="000000" w:themeColor="text2"/>
              </w:rPr>
            </w:pPr>
            <w:r w:rsidRPr="7E4030D6">
              <w:rPr>
                <w:color w:val="000000" w:themeColor="text2"/>
              </w:rPr>
              <w:t>Employment type</w:t>
            </w:r>
          </w:p>
        </w:tc>
        <w:tc>
          <w:tcPr>
            <w:tcW w:w="6798" w:type="dxa"/>
            <w:gridSpan w:val="5"/>
            <w:shd w:val="clear" w:color="auto" w:fill="FFFFFF" w:themeFill="background2"/>
            <w:vAlign w:val="center"/>
          </w:tcPr>
          <w:p w14:paraId="1A0C1B19" w14:textId="47FCF222" w:rsidR="001A7AE8" w:rsidRPr="00E44B6D" w:rsidRDefault="40BDB82B" w:rsidP="7E4030D6">
            <w:r>
              <w:t>Full time Fixed three years</w:t>
            </w:r>
          </w:p>
        </w:tc>
      </w:tr>
      <w:tr w:rsidR="00577782" w14:paraId="2A33BAF5" w14:textId="77777777" w:rsidTr="7E4030D6">
        <w:tc>
          <w:tcPr>
            <w:tcW w:w="2830" w:type="dxa"/>
            <w:shd w:val="clear" w:color="auto" w:fill="E5F1FE" w:themeFill="accent5"/>
          </w:tcPr>
          <w:p w14:paraId="4F61FE76" w14:textId="37CADCD8" w:rsidR="00577782" w:rsidRPr="00700EF5" w:rsidRDefault="40BDB82B" w:rsidP="40BDB82B">
            <w:pPr>
              <w:pStyle w:val="Tableheading"/>
              <w:rPr>
                <w:color w:val="000000" w:themeColor="text2"/>
              </w:rPr>
            </w:pPr>
            <w:r w:rsidRPr="40BDB82B">
              <w:rPr>
                <w:color w:val="000000" w:themeColor="text2"/>
              </w:rPr>
              <w:t>Direct reports</w:t>
            </w:r>
          </w:p>
        </w:tc>
        <w:tc>
          <w:tcPr>
            <w:tcW w:w="6798" w:type="dxa"/>
            <w:gridSpan w:val="5"/>
            <w:shd w:val="clear" w:color="auto" w:fill="FFFFFF" w:themeFill="background2"/>
            <w:vAlign w:val="center"/>
          </w:tcPr>
          <w:p w14:paraId="7D6BC363" w14:textId="772C2239" w:rsidR="00577782" w:rsidRPr="00934904" w:rsidRDefault="7E4030D6" w:rsidP="001A7AE8">
            <w:r>
              <w:t>0</w:t>
            </w:r>
          </w:p>
        </w:tc>
      </w:tr>
      <w:tr w:rsidR="00C729E9" w14:paraId="5A7BE5E9" w14:textId="77777777" w:rsidTr="7E4030D6">
        <w:trPr>
          <w:trHeight w:val="699"/>
        </w:trPr>
        <w:tc>
          <w:tcPr>
            <w:tcW w:w="9628" w:type="dxa"/>
            <w:gridSpan w:val="6"/>
            <w:shd w:val="clear" w:color="auto" w:fill="FFFFFF" w:themeFill="background2"/>
          </w:tcPr>
          <w:p w14:paraId="63EA1D04" w14:textId="54EC8DB0" w:rsidR="00704F5E" w:rsidRDefault="40BDB82B" w:rsidP="00CC1E4C">
            <w:pPr>
              <w:pStyle w:val="Tableheading"/>
            </w:pPr>
            <w:r>
              <w:t>Why choose 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40BDB82B">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40BDB82B">
            <w:pPr>
              <w:pStyle w:val="Numberedlist"/>
              <w:rPr>
                <w:lang w:eastAsia="en-GB"/>
              </w:rPr>
            </w:pPr>
            <w:r>
              <w:rPr>
                <w:shd w:val="clear" w:color="auto" w:fill="FFFFFF"/>
                <w:lang w:eastAsia="en-GB"/>
              </w:rPr>
              <w:t>Promoting mental health and wellbeing</w:t>
            </w:r>
          </w:p>
          <w:p w14:paraId="7B858F94" w14:textId="77777777" w:rsidR="000D0899" w:rsidRPr="00F45794" w:rsidRDefault="000D0899" w:rsidP="40BDB82B">
            <w:pPr>
              <w:pStyle w:val="Numberedlist"/>
              <w:rPr>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40BDB82B">
            <w:pPr>
              <w:pStyle w:val="Numberedlist"/>
              <w:rPr>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sidRPr="40BDB82B">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sidRPr="40BDB82B">
              <w:t>,</w:t>
            </w:r>
            <w:r w:rsidRPr="001443F7">
              <w:rPr>
                <w:bdr w:val="none" w:sz="0" w:space="0" w:color="auto" w:frame="1"/>
              </w:rPr>
              <w:t xml:space="preserve"> collaborating </w:t>
            </w:r>
            <w:r w:rsidR="00994D02">
              <w:rPr>
                <w:bdr w:val="none" w:sz="0" w:space="0" w:color="auto" w:frame="1"/>
              </w:rPr>
              <w:t>with a cross-section of colleagues, partners</w:t>
            </w:r>
            <w:r w:rsidR="00AD6B5A" w:rsidRPr="40BDB82B">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sidRPr="40BDB82B">
              <w:t>,</w:t>
            </w:r>
            <w:r w:rsidR="00755863" w:rsidRPr="40BDB82B">
              <w:t xml:space="preserve"> </w:t>
            </w:r>
            <w:r w:rsidRPr="001443F7">
              <w:rPr>
                <w:bdr w:val="none" w:sz="0" w:space="0" w:color="auto" w:frame="1"/>
              </w:rPr>
              <w:t>and generous not-for-profit salary packaging options.</w:t>
            </w:r>
            <w:r w:rsidR="00130775" w:rsidRPr="40BDB82B">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sidRPr="40BDB82B">
              <w:t>,</w:t>
            </w:r>
            <w:r w:rsidR="00AE1F14" w:rsidRPr="40BDB82B">
              <w:t xml:space="preserve"> </w:t>
            </w:r>
            <w:r w:rsidR="0054190F">
              <w:rPr>
                <w:bdr w:val="none" w:sz="0" w:space="0" w:color="auto" w:frame="1"/>
              </w:rPr>
              <w:t>a comprehensive Flexible working policy</w:t>
            </w:r>
            <w:r w:rsidR="00741EBB" w:rsidRPr="40BDB82B">
              <w:t>,</w:t>
            </w:r>
            <w:r w:rsidR="00755863" w:rsidRPr="40BDB82B">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sidRPr="40BDB82B">
              <w:t>.</w:t>
            </w:r>
            <w:r w:rsidR="008F07EF" w:rsidRPr="40BDB82B">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7E4030D6">
        <w:trPr>
          <w:trHeight w:val="569"/>
        </w:trPr>
        <w:tc>
          <w:tcPr>
            <w:tcW w:w="9628" w:type="dxa"/>
            <w:gridSpan w:val="6"/>
            <w:tcBorders>
              <w:top w:val="single" w:sz="4" w:space="0" w:color="0070F1" w:themeColor="accent1"/>
            </w:tcBorders>
            <w:shd w:val="clear" w:color="auto" w:fill="FFFFFF" w:themeFill="background2"/>
          </w:tcPr>
          <w:p w14:paraId="27036051" w14:textId="269E04F9" w:rsidR="00777DCD" w:rsidRDefault="40BDB82B" w:rsidP="00CC1E4C">
            <w:pPr>
              <w:pStyle w:val="Tableheading"/>
            </w:pPr>
            <w:r>
              <w:t>About the role</w:t>
            </w:r>
          </w:p>
        </w:tc>
      </w:tr>
      <w:tr w:rsidR="002C4D09" w14:paraId="0264BB6C" w14:textId="77777777" w:rsidTr="7E4030D6">
        <w:trPr>
          <w:trHeight w:val="231"/>
        </w:trPr>
        <w:tc>
          <w:tcPr>
            <w:tcW w:w="2830" w:type="dxa"/>
            <w:shd w:val="clear" w:color="auto" w:fill="E5F1FE" w:themeFill="accent5"/>
          </w:tcPr>
          <w:p w14:paraId="51D6C121" w14:textId="4DA47505" w:rsidR="002C4D09" w:rsidRDefault="40BDB82B" w:rsidP="004C3889">
            <w:pPr>
              <w:pStyle w:val="Heading4"/>
              <w:framePr w:hSpace="0" w:wrap="auto" w:vAnchor="margin" w:yAlign="inline"/>
              <w:suppressOverlap w:val="0"/>
              <w:outlineLvl w:val="3"/>
            </w:pPr>
            <w:r>
              <w:lastRenderedPageBreak/>
              <w:t>Role description</w:t>
            </w:r>
          </w:p>
        </w:tc>
        <w:tc>
          <w:tcPr>
            <w:tcW w:w="6798" w:type="dxa"/>
            <w:gridSpan w:val="5"/>
            <w:shd w:val="clear" w:color="auto" w:fill="FFFFFF" w:themeFill="background2"/>
            <w:vAlign w:val="center"/>
          </w:tcPr>
          <w:p w14:paraId="07582FD9" w14:textId="7E2A9B8D" w:rsidR="00E44B6D" w:rsidRPr="00E44B6D" w:rsidRDefault="00E44B6D" w:rsidP="40BDB82B">
            <w:r w:rsidRPr="40BDB82B">
              <w:rPr>
                <w:color w:val="202124"/>
                <w:shd w:val="clear" w:color="auto" w:fill="FFFFFF"/>
              </w:rPr>
              <w:t xml:space="preserve">The </w:t>
            </w:r>
            <w:r w:rsidR="00E6049B">
              <w:rPr>
                <w:color w:val="202124"/>
                <w:shd w:val="clear" w:color="auto" w:fill="FFFFFF"/>
              </w:rPr>
              <w:t xml:space="preserve">Workforce </w:t>
            </w:r>
            <w:r w:rsidR="00A739FC">
              <w:rPr>
                <w:color w:val="202124"/>
                <w:shd w:val="clear" w:color="auto" w:fill="FFFFFF"/>
              </w:rPr>
              <w:t>Diversity and Inclusion Lead</w:t>
            </w:r>
            <w:r w:rsidRPr="40BDB82B">
              <w:rPr>
                <w:color w:val="202124"/>
                <w:shd w:val="clear" w:color="auto" w:fill="FFFFFF"/>
              </w:rPr>
              <w:t> creates</w:t>
            </w:r>
            <w:r w:rsidRPr="40BDB82B">
              <w:rPr>
                <w:shd w:val="clear" w:color="auto" w:fill="FFFFFF"/>
              </w:rPr>
              <w:t xml:space="preserve"> innovative, future-focussed, diverse and inclusive people solutions at Beyond Blue to maximise individual, team and organisational potential.  </w:t>
            </w:r>
          </w:p>
          <w:p w14:paraId="2E301D4E" w14:textId="0EE901E1" w:rsidR="00383A73" w:rsidRDefault="00E44B6D" w:rsidP="40BDB82B">
            <w:pPr>
              <w:shd w:val="clear" w:color="auto" w:fill="FFFFFF" w:themeFill="background2"/>
              <w:textAlignment w:val="baseline"/>
              <w:rPr>
                <w:shd w:val="clear" w:color="auto" w:fill="FFFFFF"/>
              </w:rPr>
            </w:pPr>
            <w:r w:rsidRPr="40BDB82B">
              <w:rPr>
                <w:shd w:val="clear" w:color="auto" w:fill="FFFFFF"/>
              </w:rPr>
              <w:t xml:space="preserve">The role has custodianship for </w:t>
            </w:r>
            <w:r w:rsidR="00711871">
              <w:rPr>
                <w:shd w:val="clear" w:color="auto" w:fill="FFFFFF"/>
              </w:rPr>
              <w:t xml:space="preserve">developing </w:t>
            </w:r>
            <w:r w:rsidRPr="40BDB82B">
              <w:rPr>
                <w:shd w:val="clear" w:color="auto" w:fill="FFFFFF"/>
              </w:rPr>
              <w:t xml:space="preserve">Beyond Blue’s </w:t>
            </w:r>
            <w:r w:rsidR="00417317">
              <w:rPr>
                <w:shd w:val="clear" w:color="auto" w:fill="FFFFFF"/>
              </w:rPr>
              <w:t xml:space="preserve">Workforce </w:t>
            </w:r>
            <w:r w:rsidR="00383A73">
              <w:rPr>
                <w:shd w:val="clear" w:color="auto" w:fill="FFFFFF"/>
              </w:rPr>
              <w:t>Diversity and Inclusion</w:t>
            </w:r>
            <w:r w:rsidR="00377FE4">
              <w:rPr>
                <w:shd w:val="clear" w:color="auto" w:fill="FFFFFF"/>
              </w:rPr>
              <w:t xml:space="preserve"> </w:t>
            </w:r>
            <w:r w:rsidR="00417317">
              <w:rPr>
                <w:shd w:val="clear" w:color="auto" w:fill="FFFFFF"/>
              </w:rPr>
              <w:t>Strategy</w:t>
            </w:r>
            <w:r w:rsidR="004F33D7">
              <w:rPr>
                <w:shd w:val="clear" w:color="auto" w:fill="FFFFFF"/>
              </w:rPr>
              <w:t>.</w:t>
            </w:r>
          </w:p>
          <w:p w14:paraId="1FC612E2" w14:textId="61EFB7A9" w:rsidR="00E44B6D" w:rsidRPr="00E44B6D" w:rsidRDefault="00E44B6D" w:rsidP="40BDB82B">
            <w:pPr>
              <w:shd w:val="clear" w:color="auto" w:fill="FFFFFF" w:themeFill="background2"/>
              <w:textAlignment w:val="baseline"/>
            </w:pPr>
            <w:r w:rsidRPr="40BDB82B">
              <w:rPr>
                <w:shd w:val="clear" w:color="auto" w:fill="FFFFFF"/>
              </w:rPr>
              <w:t xml:space="preserve">It will use a human centred </w:t>
            </w:r>
            <w:r w:rsidRPr="40BDB82B">
              <w:rPr>
                <w:color w:val="1C1C1C"/>
                <w:shd w:val="clear" w:color="auto" w:fill="FFFFFF"/>
              </w:rPr>
              <w:t>design approach to determine and structure the appropriate responses for capability development in line with the organisation's future workforce needs</w:t>
            </w:r>
            <w:r w:rsidRPr="40BDB82B">
              <w:rPr>
                <w:rFonts w:eastAsia="Times New Roman"/>
                <w:color w:val="000000" w:themeColor="text1"/>
                <w:shd w:val="clear" w:color="auto" w:fill="FFFFFF"/>
                <w:lang w:eastAsia="en-GB"/>
              </w:rPr>
              <w:t xml:space="preserve"> to deliver community value and engage the workforce to the organisational strategy.</w:t>
            </w:r>
          </w:p>
          <w:p w14:paraId="272D0986" w14:textId="7AA7D97D" w:rsidR="006D5755" w:rsidRDefault="00E44B6D" w:rsidP="40BDB82B">
            <w:pPr>
              <w:rPr>
                <w:rFonts w:eastAsia="Times New Roman"/>
                <w:color w:val="000000" w:themeColor="text1"/>
                <w:shd w:val="clear" w:color="auto" w:fill="FFFFFF"/>
                <w:lang w:eastAsia="en-GB"/>
              </w:rPr>
            </w:pPr>
            <w:r w:rsidRPr="40BDB82B">
              <w:rPr>
                <w:shd w:val="clear" w:color="auto" w:fill="FFFFFF"/>
              </w:rPr>
              <w:t>This role has accountability for</w:t>
            </w:r>
            <w:r w:rsidR="006D5755">
              <w:rPr>
                <w:shd w:val="clear" w:color="auto" w:fill="FFFFFF"/>
              </w:rPr>
              <w:t xml:space="preserve"> developing and </w:t>
            </w:r>
            <w:r w:rsidRPr="40BDB82B">
              <w:rPr>
                <w:rFonts w:eastAsia="Times New Roman"/>
                <w:color w:val="000000" w:themeColor="text1"/>
                <w:shd w:val="clear" w:color="auto" w:fill="FFFFFF"/>
                <w:lang w:eastAsia="en-GB"/>
              </w:rPr>
              <w:t xml:space="preserve">integrating diverse and inclusive people initiatives across </w:t>
            </w:r>
            <w:r w:rsidR="00D00EE1">
              <w:rPr>
                <w:rFonts w:eastAsia="Times New Roman"/>
                <w:color w:val="000000" w:themeColor="text1"/>
                <w:shd w:val="clear" w:color="auto" w:fill="FFFFFF"/>
                <w:lang w:eastAsia="en-GB"/>
              </w:rPr>
              <w:t>Beyond Blue</w:t>
            </w:r>
            <w:r w:rsidRPr="40BDB82B">
              <w:rPr>
                <w:rFonts w:eastAsia="Times New Roman"/>
                <w:color w:val="000000" w:themeColor="text1"/>
                <w:shd w:val="clear" w:color="auto" w:fill="FFFFFF"/>
                <w:lang w:eastAsia="en-GB"/>
              </w:rPr>
              <w:t xml:space="preserve"> and generating valuable workforce insights </w:t>
            </w:r>
            <w:r w:rsidR="00D00EE1">
              <w:rPr>
                <w:rFonts w:eastAsia="Times New Roman"/>
                <w:color w:val="000000" w:themeColor="text1"/>
                <w:shd w:val="clear" w:color="auto" w:fill="FFFFFF"/>
                <w:lang w:eastAsia="en-GB"/>
              </w:rPr>
              <w:t xml:space="preserve">and analytics </w:t>
            </w:r>
            <w:r w:rsidR="00763C41">
              <w:rPr>
                <w:rFonts w:eastAsia="Times New Roman"/>
                <w:color w:val="000000" w:themeColor="text1"/>
                <w:shd w:val="clear" w:color="auto" w:fill="FFFFFF"/>
                <w:lang w:eastAsia="en-GB"/>
              </w:rPr>
              <w:t xml:space="preserve">for digestion at the Exec and Board level </w:t>
            </w:r>
            <w:r w:rsidRPr="40BDB82B">
              <w:rPr>
                <w:rFonts w:eastAsia="Times New Roman"/>
                <w:color w:val="000000" w:themeColor="text1"/>
                <w:shd w:val="clear" w:color="auto" w:fill="FFFFFF"/>
                <w:lang w:eastAsia="en-GB"/>
              </w:rPr>
              <w:t xml:space="preserve">to inform </w:t>
            </w:r>
            <w:r w:rsidR="00763C41">
              <w:rPr>
                <w:rFonts w:eastAsia="Times New Roman"/>
                <w:color w:val="000000" w:themeColor="text1"/>
                <w:shd w:val="clear" w:color="auto" w:fill="FFFFFF"/>
                <w:lang w:eastAsia="en-GB"/>
              </w:rPr>
              <w:t xml:space="preserve">strategic </w:t>
            </w:r>
            <w:r w:rsidRPr="40BDB82B">
              <w:rPr>
                <w:rFonts w:eastAsia="Times New Roman"/>
                <w:color w:val="000000" w:themeColor="text1"/>
                <w:shd w:val="clear" w:color="auto" w:fill="FFFFFF"/>
                <w:lang w:eastAsia="en-GB"/>
              </w:rPr>
              <w:t xml:space="preserve">people priorities and improve productivity. </w:t>
            </w:r>
          </w:p>
          <w:p w14:paraId="3233A599" w14:textId="34EB470F" w:rsidR="002C4D09" w:rsidRPr="00E44B6D" w:rsidRDefault="00E44B6D" w:rsidP="40BDB82B">
            <w:pPr>
              <w:rPr>
                <w:rFonts w:eastAsia="Times New Roman"/>
                <w:color w:val="000000" w:themeColor="text2"/>
                <w:lang w:eastAsia="en-GB"/>
              </w:rPr>
            </w:pPr>
            <w:r w:rsidRPr="40BDB82B">
              <w:rPr>
                <w:rFonts w:eastAsia="Times New Roman"/>
                <w:color w:val="000000" w:themeColor="text1"/>
                <w:shd w:val="clear" w:color="auto" w:fill="FFFFFF"/>
                <w:lang w:eastAsia="en-GB"/>
              </w:rPr>
              <w:t xml:space="preserve">It will deliver </w:t>
            </w:r>
            <w:r w:rsidR="009B39C9">
              <w:rPr>
                <w:rFonts w:eastAsia="Times New Roman"/>
                <w:color w:val="000000" w:themeColor="text1"/>
                <w:shd w:val="clear" w:color="auto" w:fill="FFFFFF"/>
                <w:lang w:eastAsia="en-GB"/>
              </w:rPr>
              <w:t xml:space="preserve">sustainable change and </w:t>
            </w:r>
            <w:r w:rsidRPr="40BDB82B">
              <w:rPr>
                <w:rFonts w:eastAsia="Times New Roman"/>
                <w:color w:val="000000" w:themeColor="text1"/>
                <w:shd w:val="clear" w:color="auto" w:fill="FFFFFF"/>
                <w:lang w:eastAsia="en-GB"/>
              </w:rPr>
              <w:t xml:space="preserve">value through a deep understanding of the people levers to drive change both strategically and operationally.  </w:t>
            </w:r>
          </w:p>
        </w:tc>
      </w:tr>
      <w:tr w:rsidR="002C4D09" w14:paraId="3FB48344" w14:textId="77777777" w:rsidTr="7E4030D6">
        <w:trPr>
          <w:trHeight w:val="228"/>
        </w:trPr>
        <w:tc>
          <w:tcPr>
            <w:tcW w:w="2830" w:type="dxa"/>
            <w:shd w:val="clear" w:color="auto" w:fill="E5F1FE" w:themeFill="accent5"/>
          </w:tcPr>
          <w:p w14:paraId="7C774F70" w14:textId="0D4D2D27" w:rsidR="002C4D09" w:rsidRDefault="40BDB82B"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77777777" w:rsidR="002C4D09" w:rsidRDefault="40BDB82B" w:rsidP="00CD0AE7">
            <w:pPr>
              <w:pStyle w:val="Tableheading"/>
            </w:pPr>
            <w:r>
              <w:t>Area of accountability</w:t>
            </w:r>
          </w:p>
          <w:p w14:paraId="4FAB3BFD" w14:textId="7BB13668" w:rsidR="00E44B6D" w:rsidRDefault="00DD5F3B" w:rsidP="00A200B8">
            <w:pPr>
              <w:pStyle w:val="Bullets"/>
            </w:pPr>
            <w:r>
              <w:t xml:space="preserve">Develop and </w:t>
            </w:r>
            <w:r w:rsidR="00A200B8">
              <w:t xml:space="preserve">Lead </w:t>
            </w:r>
            <w:r w:rsidR="00A200B8" w:rsidRPr="00194630">
              <w:t xml:space="preserve">the </w:t>
            </w:r>
            <w:r w:rsidR="00B4570E">
              <w:t xml:space="preserve">Workforce </w:t>
            </w:r>
            <w:r w:rsidR="00A200B8" w:rsidRPr="00194630">
              <w:t>Diversity and Inclusion scope, strategy,</w:t>
            </w:r>
            <w:r w:rsidR="00A200B8">
              <w:t xml:space="preserve"> policy and </w:t>
            </w:r>
            <w:r w:rsidR="00A200B8" w:rsidRPr="00194630">
              <w:t xml:space="preserve">communications </w:t>
            </w:r>
            <w:r w:rsidR="40BDB82B">
              <w:t>to align with the broader People and Culture strategy</w:t>
            </w:r>
          </w:p>
          <w:p w14:paraId="6284648E" w14:textId="61305F25" w:rsidR="004442B1" w:rsidRPr="004844BE" w:rsidRDefault="00072BF5" w:rsidP="00A200B8">
            <w:pPr>
              <w:pStyle w:val="Bullets"/>
            </w:pPr>
            <w:r>
              <w:rPr>
                <w:shd w:val="clear" w:color="auto" w:fill="FFFFFF"/>
              </w:rPr>
              <w:t xml:space="preserve">Lead the delivery of core programs aligned to </w:t>
            </w:r>
            <w:r w:rsidR="00571C0C">
              <w:rPr>
                <w:shd w:val="clear" w:color="auto" w:fill="FFFFFF"/>
              </w:rPr>
              <w:t>Beyond Blue’s s</w:t>
            </w:r>
            <w:r w:rsidR="00571C0C" w:rsidRPr="00571C0C">
              <w:rPr>
                <w:shd w:val="clear" w:color="auto" w:fill="FFFFFF"/>
              </w:rPr>
              <w:t xml:space="preserve">trategy </w:t>
            </w:r>
            <w:r w:rsidR="00022B07">
              <w:rPr>
                <w:shd w:val="clear" w:color="auto" w:fill="FFFFFF"/>
              </w:rPr>
              <w:t>(</w:t>
            </w:r>
            <w:r w:rsidRPr="00571C0C">
              <w:rPr>
                <w:shd w:val="clear" w:color="auto" w:fill="FFFFFF"/>
              </w:rPr>
              <w:t xml:space="preserve">e.g.inclusive leadership programs, and </w:t>
            </w:r>
            <w:r w:rsidR="00B4570E">
              <w:rPr>
                <w:shd w:val="clear" w:color="auto" w:fill="FFFFFF"/>
              </w:rPr>
              <w:t>organisational</w:t>
            </w:r>
            <w:r w:rsidR="00022B07">
              <w:rPr>
                <w:shd w:val="clear" w:color="auto" w:fill="FFFFFF"/>
              </w:rPr>
              <w:t xml:space="preserve"> wide </w:t>
            </w:r>
            <w:r w:rsidRPr="00571C0C">
              <w:rPr>
                <w:shd w:val="clear" w:color="auto" w:fill="FFFFFF"/>
              </w:rPr>
              <w:t>workshops</w:t>
            </w:r>
            <w:r w:rsidR="00022B07">
              <w:rPr>
                <w:shd w:val="clear" w:color="auto" w:fill="FFFFFF"/>
              </w:rPr>
              <w:t>)</w:t>
            </w:r>
          </w:p>
          <w:p w14:paraId="17BEEF54" w14:textId="59C964F8" w:rsidR="00867CB8" w:rsidRPr="004442B1" w:rsidRDefault="00867CB8" w:rsidP="00A200B8">
            <w:pPr>
              <w:pStyle w:val="Bullets"/>
            </w:pPr>
            <w:r>
              <w:rPr>
                <w:shd w:val="clear" w:color="auto" w:fill="FFFFFF"/>
              </w:rPr>
              <w:t xml:space="preserve">Work closely with the Community Diversity &amp; Inclusion Lead to ensure that the Workforce Diversity </w:t>
            </w:r>
            <w:r w:rsidR="00847DE6">
              <w:rPr>
                <w:shd w:val="clear" w:color="auto" w:fill="FFFFFF"/>
              </w:rPr>
              <w:t>and</w:t>
            </w:r>
            <w:r>
              <w:rPr>
                <w:shd w:val="clear" w:color="auto" w:fill="FFFFFF"/>
              </w:rPr>
              <w:t xml:space="preserve"> Inclusion approach </w:t>
            </w:r>
            <w:r w:rsidR="000C625D">
              <w:rPr>
                <w:shd w:val="clear" w:color="auto" w:fill="FFFFFF"/>
              </w:rPr>
              <w:t>enables Beyond Blue staff to deliver effectively on our</w:t>
            </w:r>
            <w:r>
              <w:rPr>
                <w:shd w:val="clear" w:color="auto" w:fill="FFFFFF"/>
              </w:rPr>
              <w:t xml:space="preserve"> work in the community</w:t>
            </w:r>
            <w:r w:rsidR="000C625D">
              <w:rPr>
                <w:shd w:val="clear" w:color="auto" w:fill="FFFFFF"/>
              </w:rPr>
              <w:t>, by building the attitudes and capabilities required to deliver our community facing Inclusion Framework</w:t>
            </w:r>
          </w:p>
          <w:p w14:paraId="0CB6EF2A" w14:textId="4C27D43E" w:rsidR="00E83370" w:rsidRDefault="00E83370" w:rsidP="00E83370">
            <w:pPr>
              <w:pStyle w:val="Bullets"/>
            </w:pPr>
            <w:r>
              <w:t>Contribute to the Employee Value Proposition by d</w:t>
            </w:r>
            <w:r w:rsidR="004442B1">
              <w:t>esign</w:t>
            </w:r>
            <w:r>
              <w:t>ing</w:t>
            </w:r>
            <w:r w:rsidR="004442B1">
              <w:t>, develop</w:t>
            </w:r>
            <w:r w:rsidR="000D53F6">
              <w:t>ing</w:t>
            </w:r>
            <w:r w:rsidR="004442B1">
              <w:t xml:space="preserve"> and implement</w:t>
            </w:r>
            <w:r w:rsidR="000D53F6">
              <w:t>ing</w:t>
            </w:r>
            <w:r w:rsidR="004442B1">
              <w:t xml:space="preserve"> best practice and contemporary solutions, programs and interventions</w:t>
            </w:r>
          </w:p>
          <w:p w14:paraId="7FFCA71C" w14:textId="2EF93192" w:rsidR="00E44B6D" w:rsidRDefault="00BF6BD4" w:rsidP="00A200B8">
            <w:pPr>
              <w:pStyle w:val="Bullets"/>
            </w:pPr>
            <w:r>
              <w:t>Work with the Head of People and Culture</w:t>
            </w:r>
            <w:r w:rsidR="004C3099">
              <w:t xml:space="preserve"> to drive </w:t>
            </w:r>
            <w:r w:rsidR="00DA1DAE">
              <w:t>workforce</w:t>
            </w:r>
            <w:r w:rsidR="40BDB82B">
              <w:t xml:space="preserve"> D</w:t>
            </w:r>
            <w:r w:rsidR="004844BE">
              <w:t xml:space="preserve">iversity </w:t>
            </w:r>
            <w:r w:rsidR="00DD1FB8">
              <w:t xml:space="preserve">and </w:t>
            </w:r>
            <w:r w:rsidR="40BDB82B">
              <w:t>I</w:t>
            </w:r>
            <w:r w:rsidR="00DD1FB8">
              <w:t xml:space="preserve">nclusion </w:t>
            </w:r>
            <w:r w:rsidR="40BDB82B">
              <w:t xml:space="preserve"> initiatives to attract, develop and retain talent.</w:t>
            </w:r>
          </w:p>
          <w:p w14:paraId="1AA3C879" w14:textId="740082C2" w:rsidR="00E44B6D" w:rsidRDefault="00F639B7" w:rsidP="00005085">
            <w:pPr>
              <w:pStyle w:val="Bullets"/>
            </w:pPr>
            <w:r>
              <w:t>Formulate diversity and inclusion metrics to track and measure organisational success and w</w:t>
            </w:r>
            <w:r w:rsidR="00471964">
              <w:t>ork</w:t>
            </w:r>
            <w:r w:rsidR="007B0FA6">
              <w:t>ing</w:t>
            </w:r>
            <w:r w:rsidR="00471964">
              <w:t xml:space="preserve"> closely </w:t>
            </w:r>
            <w:r w:rsidR="007B0FA6">
              <w:t xml:space="preserve">to </w:t>
            </w:r>
            <w:r w:rsidR="001113E1">
              <w:t>info</w:t>
            </w:r>
            <w:r w:rsidR="00B030C0">
              <w:t>r</w:t>
            </w:r>
            <w:r w:rsidR="001113E1">
              <w:t xml:space="preserve">m </w:t>
            </w:r>
            <w:r w:rsidR="00471964">
              <w:t xml:space="preserve">the </w:t>
            </w:r>
            <w:r w:rsidR="001113E1">
              <w:t>Organisational</w:t>
            </w:r>
            <w:r w:rsidR="00471964">
              <w:t xml:space="preserve"> Development and Insights Lead to </w:t>
            </w:r>
            <w:r w:rsidR="40BDB82B">
              <w:t>reporting workforce insights.</w:t>
            </w:r>
          </w:p>
          <w:p w14:paraId="3E0917B0" w14:textId="77777777" w:rsidR="00C54E98" w:rsidRDefault="40BDB82B" w:rsidP="00A200B8">
            <w:pPr>
              <w:pStyle w:val="Bullets"/>
            </w:pPr>
            <w:r>
              <w:t xml:space="preserve">Special people projects as requested by the Head of P&amp;C.  </w:t>
            </w:r>
          </w:p>
          <w:p w14:paraId="5CF05FA1" w14:textId="0621CB42" w:rsidR="0007431E" w:rsidRPr="00194630" w:rsidRDefault="000C625D" w:rsidP="00A200B8">
            <w:pPr>
              <w:pStyle w:val="Bullets"/>
            </w:pPr>
            <w:r>
              <w:t>Plan for, execute and lead P</w:t>
            </w:r>
            <w:r w:rsidR="00623DCF">
              <w:t xml:space="preserve">eople and Culture </w:t>
            </w:r>
            <w:r>
              <w:t>deliverables</w:t>
            </w:r>
            <w:r w:rsidR="0007431E" w:rsidRPr="00194630">
              <w:t xml:space="preserve"> of </w:t>
            </w:r>
            <w:r>
              <w:t>Beyond Blue’s</w:t>
            </w:r>
            <w:r w:rsidRPr="00194630">
              <w:t xml:space="preserve"> </w:t>
            </w:r>
            <w:r w:rsidR="0007431E" w:rsidRPr="00194630">
              <w:t xml:space="preserve">Reconciliation Action Plan (RAP) </w:t>
            </w:r>
          </w:p>
          <w:p w14:paraId="0C919635" w14:textId="3603F140" w:rsidR="0007431E" w:rsidRPr="00194630" w:rsidRDefault="0007431E" w:rsidP="00A200B8">
            <w:pPr>
              <w:pStyle w:val="Bullets"/>
            </w:pPr>
            <w:r>
              <w:t xml:space="preserve">Conduct </w:t>
            </w:r>
            <w:r w:rsidR="000D53F6">
              <w:t xml:space="preserve">regular </w:t>
            </w:r>
            <w:r>
              <w:t xml:space="preserve">listening sessions across the organisation to understand the current landscape and </w:t>
            </w:r>
            <w:r w:rsidR="004E47E4">
              <w:t xml:space="preserve">drive </w:t>
            </w:r>
            <w:r w:rsidR="004262D3">
              <w:t xml:space="preserve">enthusiasm and benefits </w:t>
            </w:r>
            <w:r>
              <w:t>for diversity and inclusion at Beyond Blue at each stage of the employee experience</w:t>
            </w:r>
          </w:p>
          <w:p w14:paraId="4222518F" w14:textId="6904A279" w:rsidR="0007431E" w:rsidRDefault="0007431E" w:rsidP="00A200B8">
            <w:pPr>
              <w:pStyle w:val="Bullets"/>
            </w:pPr>
            <w:r w:rsidRPr="00811A2B">
              <w:t xml:space="preserve">Identify change champions throughout the organisation that will drive </w:t>
            </w:r>
            <w:r w:rsidR="00DA1DAE">
              <w:t xml:space="preserve">workforce </w:t>
            </w:r>
            <w:r w:rsidRPr="00811A2B">
              <w:t>D</w:t>
            </w:r>
            <w:r>
              <w:t>iversity and Inclusion</w:t>
            </w:r>
            <w:r w:rsidRPr="00811A2B">
              <w:t xml:space="preserve"> agenda</w:t>
            </w:r>
            <w:r>
              <w:t xml:space="preserve"> at senior level</w:t>
            </w:r>
            <w:r w:rsidR="00920B89">
              <w:t>s</w:t>
            </w:r>
          </w:p>
          <w:p w14:paraId="399FBAC9" w14:textId="20530E33" w:rsidR="0007431E" w:rsidRPr="00811A2B" w:rsidRDefault="0007431E" w:rsidP="00A200B8">
            <w:pPr>
              <w:pStyle w:val="Bullets"/>
            </w:pPr>
            <w:r w:rsidRPr="00811A2B">
              <w:lastRenderedPageBreak/>
              <w:t>Identify, diagnose and recommend the right initiatives, programs</w:t>
            </w:r>
            <w:r>
              <w:t>, training</w:t>
            </w:r>
            <w:r w:rsidRPr="00811A2B">
              <w:t xml:space="preserve"> and solutions to sustainably make shift</w:t>
            </w:r>
            <w:r w:rsidR="00DA1DAE">
              <w:t>s</w:t>
            </w:r>
            <w:r w:rsidRPr="00811A2B">
              <w:t xml:space="preserve"> with our diversity and inclusion measures</w:t>
            </w:r>
          </w:p>
          <w:p w14:paraId="3FCD70B5" w14:textId="773F948E" w:rsidR="0007431E" w:rsidRPr="00982D9E" w:rsidRDefault="004546A9" w:rsidP="00A200B8">
            <w:pPr>
              <w:pStyle w:val="Bullets"/>
            </w:pPr>
            <w:r>
              <w:t xml:space="preserve">Work with Remuneration and Benefits Lead, </w:t>
            </w:r>
            <w:r w:rsidR="00A60B8A">
              <w:t>Organisational</w:t>
            </w:r>
            <w:r>
              <w:t xml:space="preserve"> Development and </w:t>
            </w:r>
            <w:r w:rsidR="00F3534C">
              <w:t>Insights</w:t>
            </w:r>
            <w:r>
              <w:t xml:space="preserve"> Lead to </w:t>
            </w:r>
            <w:r w:rsidR="00F3534C">
              <w:t>p</w:t>
            </w:r>
            <w:r w:rsidR="0007431E" w:rsidRPr="00982D9E">
              <w:t xml:space="preserve">roduce </w:t>
            </w:r>
            <w:r w:rsidR="00F3534C">
              <w:t xml:space="preserve">the </w:t>
            </w:r>
            <w:r w:rsidR="0007431E" w:rsidRPr="00982D9E">
              <w:t>annual Workplace Gender Equality Agency (WGEA) report</w:t>
            </w:r>
          </w:p>
          <w:p w14:paraId="6029D3F0" w14:textId="384B0EF8" w:rsidR="0007431E" w:rsidRPr="0007431E" w:rsidRDefault="0007431E" w:rsidP="00A200B8">
            <w:pPr>
              <w:pStyle w:val="Bullets"/>
            </w:pPr>
            <w:r>
              <w:t xml:space="preserve">Identify and work with external </w:t>
            </w:r>
            <w:r w:rsidR="00B00E74">
              <w:t xml:space="preserve">stakeholders to </w:t>
            </w:r>
            <w:r>
              <w:t xml:space="preserve">enable the Diversity and Inclusion strategy </w:t>
            </w:r>
          </w:p>
        </w:tc>
      </w:tr>
      <w:tr w:rsidR="002C4D09" w14:paraId="649F00F8" w14:textId="77777777" w:rsidTr="7E4030D6">
        <w:trPr>
          <w:trHeight w:val="228"/>
        </w:trPr>
        <w:tc>
          <w:tcPr>
            <w:tcW w:w="2830" w:type="dxa"/>
            <w:tcBorders>
              <w:top w:val="single" w:sz="2" w:space="0" w:color="0070F1" w:themeColor="accent1"/>
            </w:tcBorders>
            <w:shd w:val="clear" w:color="auto" w:fill="E5F1FE" w:themeFill="accent5"/>
          </w:tcPr>
          <w:p w14:paraId="4FDF73D5" w14:textId="24D3E49C" w:rsidR="002C4D09" w:rsidRDefault="40BDB82B" w:rsidP="004C3889">
            <w:pPr>
              <w:pStyle w:val="Heading4"/>
              <w:framePr w:hSpace="0" w:wrap="auto" w:vAnchor="margin" w:yAlign="inline"/>
              <w:suppressOverlap w:val="0"/>
              <w:outlineLvl w:val="3"/>
            </w:pPr>
            <w:r>
              <w:lastRenderedPageBreak/>
              <w:t>Key stakeholders</w:t>
            </w:r>
          </w:p>
        </w:tc>
        <w:tc>
          <w:tcPr>
            <w:tcW w:w="6798" w:type="dxa"/>
            <w:gridSpan w:val="5"/>
            <w:tcBorders>
              <w:top w:val="single" w:sz="2" w:space="0" w:color="0070F1" w:themeColor="accent1"/>
            </w:tcBorders>
            <w:shd w:val="clear" w:color="auto" w:fill="FFFFFF" w:themeFill="background2"/>
            <w:vAlign w:val="center"/>
          </w:tcPr>
          <w:p w14:paraId="5185E179" w14:textId="77777777" w:rsidR="00EB5C82" w:rsidRDefault="40BDB82B" w:rsidP="00CD0AE7">
            <w:pPr>
              <w:pStyle w:val="Tableheading"/>
            </w:pPr>
            <w:r>
              <w:t>Key stakeholders</w:t>
            </w:r>
          </w:p>
          <w:p w14:paraId="2E40FED4" w14:textId="1CC0A001" w:rsidR="00EB5C82" w:rsidRDefault="40BDB82B" w:rsidP="004A749D">
            <w:pPr>
              <w:pStyle w:val="Tablesubheading"/>
              <w:framePr w:hSpace="0" w:wrap="auto" w:vAnchor="margin" w:yAlign="inline"/>
              <w:suppressOverlap w:val="0"/>
            </w:pPr>
            <w:r>
              <w:t>Internal</w:t>
            </w:r>
          </w:p>
          <w:p w14:paraId="5F50E66B" w14:textId="43A5F96E" w:rsidR="00E44B6D" w:rsidRDefault="40BDB82B" w:rsidP="00E44B6D">
            <w:pPr>
              <w:pStyle w:val="Bullets"/>
            </w:pPr>
            <w:r>
              <w:t>Head of P&amp;C</w:t>
            </w:r>
          </w:p>
          <w:p w14:paraId="515EBA77" w14:textId="757F8AF7" w:rsidR="007E44FB" w:rsidRDefault="007E44FB" w:rsidP="00E44B6D">
            <w:pPr>
              <w:pStyle w:val="Bullets"/>
            </w:pPr>
            <w:r>
              <w:t>Heads group</w:t>
            </w:r>
          </w:p>
          <w:p w14:paraId="550B06E7" w14:textId="77777777" w:rsidR="007E44FB" w:rsidRDefault="007E44FB" w:rsidP="00E44B6D">
            <w:pPr>
              <w:pStyle w:val="Bullets"/>
            </w:pPr>
            <w:r>
              <w:t>Chiefs</w:t>
            </w:r>
          </w:p>
          <w:p w14:paraId="3339E79B" w14:textId="04596792" w:rsidR="00E44B6D" w:rsidRDefault="007E44FB" w:rsidP="00E44B6D">
            <w:pPr>
              <w:pStyle w:val="Bullets"/>
            </w:pPr>
            <w:r>
              <w:t>CEO</w:t>
            </w:r>
          </w:p>
          <w:p w14:paraId="24C71830" w14:textId="171AE940" w:rsidR="00924842" w:rsidRDefault="6E1C049A" w:rsidP="00E44B6D">
            <w:pPr>
              <w:pStyle w:val="Bullets"/>
            </w:pPr>
            <w:r>
              <w:t>Office of the CEO</w:t>
            </w:r>
          </w:p>
          <w:p w14:paraId="6E670084" w14:textId="24C1DD9B" w:rsidR="0055261E" w:rsidRDefault="0055261E" w:rsidP="00E44B6D">
            <w:pPr>
              <w:pStyle w:val="Bullets"/>
            </w:pPr>
            <w:r>
              <w:t>Community Diversity and Inclusion Lead</w:t>
            </w:r>
          </w:p>
          <w:p w14:paraId="3C5F537B" w14:textId="55C2C841" w:rsidR="00872A79" w:rsidRDefault="00872A79" w:rsidP="00E44B6D">
            <w:pPr>
              <w:pStyle w:val="Bullets"/>
            </w:pPr>
            <w:r>
              <w:t xml:space="preserve">Diversity and </w:t>
            </w:r>
            <w:r w:rsidR="007E44FB">
              <w:t>Inclusion Adviser</w:t>
            </w:r>
            <w:r w:rsidR="00DA1DAE">
              <w:t>s</w:t>
            </w:r>
          </w:p>
          <w:p w14:paraId="7E72ED06" w14:textId="1FE3A6EF" w:rsidR="0055261E" w:rsidRDefault="0044723C" w:rsidP="00E44B6D">
            <w:pPr>
              <w:pStyle w:val="Bullets"/>
            </w:pPr>
            <w:r>
              <w:t>Beyond Blue Board</w:t>
            </w:r>
            <w:r w:rsidR="0055261E">
              <w:t xml:space="preserve"> </w:t>
            </w:r>
          </w:p>
          <w:p w14:paraId="002080AC" w14:textId="77777777" w:rsidR="002C4D09" w:rsidRDefault="40BDB82B" w:rsidP="004A749D">
            <w:pPr>
              <w:pStyle w:val="Tablesubheading"/>
              <w:framePr w:hSpace="0" w:wrap="auto" w:vAnchor="margin" w:yAlign="inline"/>
              <w:suppressOverlap w:val="0"/>
            </w:pPr>
            <w:r>
              <w:t>External</w:t>
            </w:r>
          </w:p>
          <w:p w14:paraId="53C13E25" w14:textId="6C432ED3" w:rsidR="00924842" w:rsidRDefault="003861F1" w:rsidP="00CD0AE7">
            <w:pPr>
              <w:pStyle w:val="Bullets"/>
            </w:pPr>
            <w:r>
              <w:t xml:space="preserve">Diversity Council of </w:t>
            </w:r>
            <w:r w:rsidR="001937A1">
              <w:t>Australia</w:t>
            </w:r>
          </w:p>
          <w:p w14:paraId="0B1CA2D2" w14:textId="15E00A2B" w:rsidR="0044723C" w:rsidRDefault="00302F6C" w:rsidP="00302F6C">
            <w:pPr>
              <w:pStyle w:val="Bullets"/>
            </w:pPr>
            <w:r>
              <w:t>Other peak bodies</w:t>
            </w:r>
          </w:p>
        </w:tc>
      </w:tr>
      <w:tr w:rsidR="003E45A4" w14:paraId="22AF8158" w14:textId="77777777" w:rsidTr="7E4030D6">
        <w:trPr>
          <w:trHeight w:val="569"/>
        </w:trPr>
        <w:tc>
          <w:tcPr>
            <w:tcW w:w="9628" w:type="dxa"/>
            <w:gridSpan w:val="6"/>
            <w:shd w:val="clear" w:color="auto" w:fill="FFFFFF" w:themeFill="background2"/>
            <w:vAlign w:val="center"/>
          </w:tcPr>
          <w:p w14:paraId="28716EAC" w14:textId="4F1C8556" w:rsidR="003E45A4" w:rsidRDefault="40BDB82B" w:rsidP="00CD0AE7">
            <w:pPr>
              <w:pStyle w:val="Tableheading"/>
            </w:pPr>
            <w:r>
              <w:t>What we are looking for</w:t>
            </w:r>
          </w:p>
        </w:tc>
      </w:tr>
      <w:tr w:rsidR="003E45A4" w14:paraId="7BDFE60A" w14:textId="77777777" w:rsidTr="7E4030D6">
        <w:trPr>
          <w:trHeight w:val="231"/>
        </w:trPr>
        <w:tc>
          <w:tcPr>
            <w:tcW w:w="2830" w:type="dxa"/>
            <w:tcBorders>
              <w:top w:val="single" w:sz="2" w:space="0" w:color="0070F1" w:themeColor="accent1"/>
            </w:tcBorders>
            <w:shd w:val="clear" w:color="auto" w:fill="E5F1FE" w:themeFill="accent5"/>
          </w:tcPr>
          <w:p w14:paraId="4201E409" w14:textId="7F6CED12" w:rsidR="003E45A4" w:rsidRDefault="40BDB82B" w:rsidP="004C3889">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D056DD" w:rsidRDefault="40BDB82B" w:rsidP="40BDB82B">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sidRPr="40BDB82B">
              <w:rPr>
                <w:rFonts w:asciiTheme="minorHAnsi" w:eastAsiaTheme="minorEastAsia" w:hAnsiTheme="minorHAnsi" w:cstheme="minorBidi"/>
                <w:sz w:val="22"/>
                <w:szCs w:val="22"/>
                <w:lang w:eastAsia="en-US"/>
              </w:rPr>
              <w:t xml:space="preserve">Of the eight capabilities listed in our </w:t>
            </w:r>
            <w:r w:rsidRPr="40BDB82B">
              <w:rPr>
                <w:rFonts w:asciiTheme="minorHAnsi" w:eastAsiaTheme="minorEastAsia" w:hAnsiTheme="minorHAnsi" w:cstheme="minorBidi"/>
                <w:sz w:val="22"/>
                <w:szCs w:val="22"/>
                <w:u w:val="single"/>
                <w:lang w:eastAsia="en-US"/>
              </w:rPr>
              <w:t>capability framework</w:t>
            </w:r>
            <w:r w:rsidRPr="40BDB82B">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17E610A" w14:textId="77777777" w:rsidR="00900058" w:rsidRPr="00900058" w:rsidRDefault="40BDB82B" w:rsidP="40BDB82B">
            <w:pPr>
              <w:spacing w:before="120"/>
              <w:rPr>
                <w:b/>
                <w:bCs/>
              </w:rPr>
            </w:pPr>
            <w:r w:rsidRPr="40BDB82B">
              <w:rPr>
                <w:b/>
                <w:bCs/>
              </w:rPr>
              <w:t>Communication</w:t>
            </w:r>
          </w:p>
          <w:p w14:paraId="785D9BCA" w14:textId="77777777" w:rsidR="00900058" w:rsidRPr="00190670" w:rsidRDefault="40BDB82B" w:rsidP="00190670">
            <w:pPr>
              <w:pStyle w:val="Bullets"/>
            </w:pPr>
            <w:r>
              <w:t>Communicates and presents confidently and regularly with employees, community members and other stakeholders to gain their commitment; translates specialist knowledge into common language</w:t>
            </w:r>
          </w:p>
          <w:p w14:paraId="3A2E8873" w14:textId="77777777" w:rsidR="00900058" w:rsidRPr="00190670" w:rsidRDefault="40BDB82B" w:rsidP="00190670">
            <w:pPr>
              <w:pStyle w:val="Bullets"/>
            </w:pPr>
            <w:r>
              <w:t>Uses storytelling to inform others, motivate action and influences stakeholders by connecting rationally and emotionally</w:t>
            </w:r>
          </w:p>
          <w:p w14:paraId="26356531" w14:textId="77777777" w:rsidR="00900058" w:rsidRPr="00190670" w:rsidRDefault="40BDB82B" w:rsidP="00190670">
            <w:pPr>
              <w:pStyle w:val="Bullets"/>
            </w:pPr>
            <w:r>
              <w:t>Negotiates from an informed and credible position and presents persuasive counter arguments; Isn’t afraid to have the tough conversations </w:t>
            </w:r>
          </w:p>
          <w:p w14:paraId="6977D23A" w14:textId="77777777" w:rsidR="00900058" w:rsidRPr="00190670" w:rsidRDefault="40BDB82B" w:rsidP="00190670">
            <w:pPr>
              <w:pStyle w:val="Bullets"/>
            </w:pPr>
            <w:r>
              <w:t>Creates opportunities for others to be heard and bring their point of view, encouraging robust, respectful debate </w:t>
            </w:r>
          </w:p>
          <w:p w14:paraId="34C8FB93" w14:textId="249DA13C" w:rsidR="00900058" w:rsidRPr="00190670" w:rsidRDefault="40BDB82B" w:rsidP="00190670">
            <w:pPr>
              <w:pStyle w:val="Bullets"/>
            </w:pPr>
            <w:r>
              <w:t>Clearly articulates the Beyond Blue vision and upholds the brand and establishes own credibility, integrity and personal brand in interactions</w:t>
            </w:r>
          </w:p>
          <w:p w14:paraId="1D67FD96" w14:textId="77777777" w:rsidR="00900058" w:rsidRPr="00900058" w:rsidRDefault="40BDB82B" w:rsidP="40BDB82B">
            <w:pPr>
              <w:spacing w:before="120"/>
              <w:rPr>
                <w:b/>
                <w:bCs/>
              </w:rPr>
            </w:pPr>
            <w:r w:rsidRPr="40BDB82B">
              <w:rPr>
                <w:b/>
                <w:bCs/>
              </w:rPr>
              <w:t xml:space="preserve">Community centricity </w:t>
            </w:r>
          </w:p>
          <w:p w14:paraId="39782C66" w14:textId="77777777" w:rsidR="00900058" w:rsidRPr="00190670" w:rsidRDefault="40BDB82B" w:rsidP="00190670">
            <w:pPr>
              <w:pStyle w:val="Bullets"/>
            </w:pPr>
            <w:r w:rsidRPr="40BDB82B">
              <w:t xml:space="preserve">Uses </w:t>
            </w:r>
            <w:r>
              <w:t>human centred or relevant design experience approaches to create and or support meaningful service improvements or service excellence</w:t>
            </w:r>
          </w:p>
          <w:p w14:paraId="524C14C7" w14:textId="77777777" w:rsidR="00900058" w:rsidRPr="00190670" w:rsidRDefault="40BDB82B" w:rsidP="00190670">
            <w:pPr>
              <w:pStyle w:val="Bullets"/>
            </w:pPr>
            <w:r>
              <w:lastRenderedPageBreak/>
              <w:t>Competently advocates for mental health and suicide prevention services and information, empathically putting community at the heart of all we do</w:t>
            </w:r>
          </w:p>
          <w:p w14:paraId="4BC5FA52" w14:textId="77777777" w:rsidR="00900058" w:rsidRPr="00190670" w:rsidRDefault="40BDB82B" w:rsidP="00190670">
            <w:pPr>
              <w:pStyle w:val="Bullets"/>
            </w:pPr>
            <w:r>
              <w:t>Emphasises importance of community and stakeholder relationships over products and solutions with commitment to strengthen and maintain trust and demonstrates integrity</w:t>
            </w:r>
          </w:p>
          <w:p w14:paraId="05210870" w14:textId="77777777" w:rsidR="00900058" w:rsidRPr="00190670" w:rsidRDefault="40BDB82B" w:rsidP="00190670">
            <w:pPr>
              <w:pStyle w:val="Bullets"/>
            </w:pPr>
            <w:r>
              <w:t>Is aware of unintentional biases or power dynamics and takes steps to reduce bias in interactions and call out undesirable behaviours</w:t>
            </w:r>
          </w:p>
          <w:p w14:paraId="5F4D72B3" w14:textId="77777777" w:rsidR="00900058" w:rsidRPr="00900058" w:rsidRDefault="40BDB82B" w:rsidP="40BDB82B">
            <w:pPr>
              <w:pStyle w:val="Bullets"/>
            </w:pPr>
            <w:r>
              <w:t>Factors in an external</w:t>
            </w:r>
            <w:r w:rsidRPr="40BDB82B">
              <w:t xml:space="preserve"> perspective to drive internal process design </w:t>
            </w:r>
          </w:p>
          <w:p w14:paraId="393617D7" w14:textId="77777777" w:rsidR="00900058" w:rsidRPr="00190670" w:rsidRDefault="40BDB82B" w:rsidP="40BDB82B">
            <w:pPr>
              <w:spacing w:before="120"/>
              <w:rPr>
                <w:b/>
                <w:bCs/>
              </w:rPr>
            </w:pPr>
            <w:r w:rsidRPr="40BDB82B">
              <w:rPr>
                <w:b/>
                <w:bCs/>
              </w:rPr>
              <w:t>Innovative mindset</w:t>
            </w:r>
          </w:p>
          <w:p w14:paraId="6B3D72A3" w14:textId="77777777" w:rsidR="00900058" w:rsidRPr="00190670" w:rsidRDefault="40BDB82B" w:rsidP="00190670">
            <w:pPr>
              <w:pStyle w:val="Bullets"/>
            </w:pPr>
            <w:r>
              <w:t>Proactively seeks out alternative ways to improve the quality, cost effectiveness and overall value add and service excellence for Beyond Blue’s services</w:t>
            </w:r>
          </w:p>
          <w:p w14:paraId="2F63C7C2" w14:textId="77777777" w:rsidR="00900058" w:rsidRPr="00190670" w:rsidRDefault="40BDB82B" w:rsidP="00190670">
            <w:pPr>
              <w:pStyle w:val="Bullets"/>
            </w:pPr>
            <w:r>
              <w:t>Builds a work environment that encourages calculated risks, experimentation, and iteration, working collaboratively to explore new approaches and provide input to problems.</w:t>
            </w:r>
          </w:p>
          <w:p w14:paraId="21F330B9" w14:textId="77777777" w:rsidR="00900058" w:rsidRPr="00190670" w:rsidRDefault="40BDB82B" w:rsidP="00190670">
            <w:pPr>
              <w:pStyle w:val="Bullets"/>
            </w:pPr>
            <w:r>
              <w:t>Brings together diverse groups of people to bridge siloes, broaden thinking and start a dialogue</w:t>
            </w:r>
          </w:p>
          <w:p w14:paraId="09A0FB7B" w14:textId="77777777" w:rsidR="00900058" w:rsidRPr="00190670" w:rsidRDefault="40BDB82B" w:rsidP="00190670">
            <w:pPr>
              <w:pStyle w:val="Bullets"/>
            </w:pPr>
            <w:r>
              <w:t>Translates creative ideas into business improvements or practical solutions, facilitating implementation and change</w:t>
            </w:r>
          </w:p>
          <w:p w14:paraId="7FDC6217" w14:textId="77777777" w:rsidR="00900058" w:rsidRPr="00900058" w:rsidRDefault="40BDB82B" w:rsidP="40BDB82B">
            <w:pPr>
              <w:pStyle w:val="Bullets"/>
            </w:pPr>
            <w:r>
              <w:t>Bounces back quickly from adversity or failed ideas and takes steps to learn from</w:t>
            </w:r>
            <w:r w:rsidRPr="40BDB82B">
              <w:t xml:space="preserve"> mistakes to make future improvements</w:t>
            </w:r>
          </w:p>
          <w:p w14:paraId="44AC0657" w14:textId="77777777" w:rsidR="00900058" w:rsidRPr="00190670" w:rsidRDefault="40BDB82B" w:rsidP="40BDB82B">
            <w:pPr>
              <w:spacing w:before="120"/>
              <w:rPr>
                <w:b/>
                <w:bCs/>
              </w:rPr>
            </w:pPr>
            <w:r w:rsidRPr="40BDB82B">
              <w:rPr>
                <w:b/>
                <w:bCs/>
              </w:rPr>
              <w:t>Digital discovery</w:t>
            </w:r>
          </w:p>
          <w:p w14:paraId="167C065C" w14:textId="77777777" w:rsidR="00900058" w:rsidRPr="00190670" w:rsidRDefault="40BDB82B" w:rsidP="00190670">
            <w:pPr>
              <w:pStyle w:val="Bullets"/>
            </w:pPr>
            <w:r>
              <w:t>Establishes digital protocols and works effectively within a hybrid team </w:t>
            </w:r>
          </w:p>
          <w:p w14:paraId="2F0CA73A" w14:textId="77777777" w:rsidR="00900058" w:rsidRPr="00190670" w:rsidRDefault="40BDB82B" w:rsidP="00190670">
            <w:pPr>
              <w:pStyle w:val="Bullets"/>
            </w:pPr>
            <w:r>
              <w:t>Actively embeds digital strategies and promotes the use of technology and digital tools in day-to-day activities to better manage services and processes </w:t>
            </w:r>
          </w:p>
          <w:p w14:paraId="13783191" w14:textId="77777777" w:rsidR="00900058" w:rsidRPr="00190670" w:rsidRDefault="40BDB82B" w:rsidP="00190670">
            <w:pPr>
              <w:pStyle w:val="Bullets"/>
            </w:pPr>
            <w:r>
              <w:t>Applies appropriate consideration of data governance, legal security and privacy issues, and creates new opportunities for data information sharing</w:t>
            </w:r>
          </w:p>
          <w:p w14:paraId="051244D2" w14:textId="77777777" w:rsidR="00900058" w:rsidRPr="00190670" w:rsidRDefault="40BDB82B" w:rsidP="00190670">
            <w:pPr>
              <w:pStyle w:val="Bullets"/>
            </w:pPr>
            <w:r>
              <w:t>Demonstrates a strong understanding of the importance of cyber security </w:t>
            </w:r>
          </w:p>
          <w:p w14:paraId="28E6E829" w14:textId="77777777" w:rsidR="00900058" w:rsidRPr="00190670" w:rsidRDefault="40BDB82B" w:rsidP="00190670">
            <w:pPr>
              <w:pStyle w:val="Bullets"/>
            </w:pPr>
            <w:r>
              <w:t>Ensure fit for purpose cross-functional processes drive technical solutions</w:t>
            </w:r>
          </w:p>
          <w:p w14:paraId="3D652564" w14:textId="77777777" w:rsidR="00900058" w:rsidRPr="00190670" w:rsidRDefault="40BDB82B" w:rsidP="40BDB82B">
            <w:pPr>
              <w:spacing w:before="120"/>
              <w:rPr>
                <w:b/>
                <w:bCs/>
              </w:rPr>
            </w:pPr>
            <w:r w:rsidRPr="40BDB82B">
              <w:rPr>
                <w:b/>
                <w:bCs/>
              </w:rPr>
              <w:t>Partnering</w:t>
            </w:r>
          </w:p>
          <w:p w14:paraId="6C584584" w14:textId="77777777" w:rsidR="00900058" w:rsidRPr="00190670" w:rsidRDefault="40BDB82B" w:rsidP="00190670">
            <w:pPr>
              <w:pStyle w:val="Bullets"/>
            </w:pPr>
            <w:r>
              <w:t>Oversees program delivery and ensures partnering activities are informed by Beyond Blue’s vision, values and strategies to achieve high quality outcomes Keeps partners and stakeholders accountable for delivering on contractual requirements through reporting insights and regular forums to communicate</w:t>
            </w:r>
          </w:p>
          <w:p w14:paraId="116FD124" w14:textId="77777777" w:rsidR="00900058" w:rsidRPr="00190670" w:rsidRDefault="40BDB82B" w:rsidP="00190670">
            <w:pPr>
              <w:pStyle w:val="Bullets"/>
            </w:pPr>
            <w:r>
              <w:t>Identifies opportunities and actively looks for synergies across initiatives for cross-functional collaboration and partnership development</w:t>
            </w:r>
          </w:p>
          <w:p w14:paraId="09B7130B" w14:textId="77777777" w:rsidR="00900058" w:rsidRPr="00190670" w:rsidRDefault="40BDB82B" w:rsidP="00190670">
            <w:pPr>
              <w:pStyle w:val="Bullets"/>
            </w:pPr>
            <w:r>
              <w:t>Works with partners to contribute to the mental health and suicide prevention knowledge base; manages and deepens the relationship to become a trusted partner and knows how and when to escalate issues</w:t>
            </w:r>
          </w:p>
          <w:p w14:paraId="4F6252FA" w14:textId="77777777" w:rsidR="00900058" w:rsidRPr="00190670" w:rsidRDefault="40BDB82B" w:rsidP="00190670">
            <w:pPr>
              <w:pStyle w:val="Bullets"/>
            </w:pPr>
            <w:r>
              <w:lastRenderedPageBreak/>
              <w:t>Has strong financial literacy with ability to manage budgets and apply commercial processes to make appropriate judgements</w:t>
            </w:r>
          </w:p>
          <w:p w14:paraId="0A1633B0" w14:textId="77777777" w:rsidR="00900058" w:rsidRPr="00190670" w:rsidRDefault="40BDB82B" w:rsidP="00190670">
            <w:pPr>
              <w:pStyle w:val="Bullets"/>
            </w:pPr>
            <w:r>
              <w:t>Understands how to successfully navigate the complexity of the organisation and broader sector’s ecosystem and operating environment</w:t>
            </w:r>
          </w:p>
          <w:p w14:paraId="10C9ABE0" w14:textId="77777777" w:rsidR="00900058" w:rsidRPr="00190670" w:rsidRDefault="40BDB82B" w:rsidP="40BDB82B">
            <w:pPr>
              <w:spacing w:before="120"/>
              <w:rPr>
                <w:b/>
                <w:bCs/>
              </w:rPr>
            </w:pPr>
            <w:r w:rsidRPr="40BDB82B">
              <w:rPr>
                <w:b/>
                <w:bCs/>
              </w:rPr>
              <w:t>Agility</w:t>
            </w:r>
          </w:p>
          <w:p w14:paraId="23D3680C" w14:textId="77777777" w:rsidR="00900058" w:rsidRPr="00190670" w:rsidRDefault="40BDB82B" w:rsidP="00190670">
            <w:pPr>
              <w:pStyle w:val="Bullets"/>
            </w:pPr>
            <w:r>
              <w:t>Applies principles of agile mindsets and tools to projects, tasks and collaborations; coaches others to implement agile mindsets, practices and risk management processes </w:t>
            </w:r>
          </w:p>
          <w:p w14:paraId="004B6CA1" w14:textId="77777777" w:rsidR="00900058" w:rsidRPr="00190670" w:rsidRDefault="40BDB82B" w:rsidP="00190670">
            <w:pPr>
              <w:pStyle w:val="Bullets"/>
            </w:pPr>
            <w:r>
              <w:t>Creates a clear road map for change to improve community outcomes; anticipates barriers and endures uncertainty without becoming negative </w:t>
            </w:r>
          </w:p>
          <w:p w14:paraId="68930EEA" w14:textId="77777777" w:rsidR="00900058" w:rsidRPr="00190670" w:rsidRDefault="40BDB82B" w:rsidP="00190670">
            <w:pPr>
              <w:pStyle w:val="Bullets"/>
            </w:pPr>
            <w:r>
              <w:t>Applies enterprise mindset to work prioritisation and resource allocation; sets realistic timeframes and manages competing projects or changes. Prioritises and aligns projects to business strategy, managing budget, team capacity and resources </w:t>
            </w:r>
          </w:p>
          <w:p w14:paraId="6CB00A36" w14:textId="77777777" w:rsidR="00900058" w:rsidRPr="00190670" w:rsidRDefault="40BDB82B" w:rsidP="00190670">
            <w:pPr>
              <w:pStyle w:val="Bullets"/>
            </w:pPr>
            <w:r>
              <w:t>Is nimble and innovative in contract management by identify new strategies and tactics for continuous improvement and services excellence</w:t>
            </w:r>
          </w:p>
          <w:p w14:paraId="3884B4BA" w14:textId="77777777" w:rsidR="00900058" w:rsidRPr="00190670" w:rsidRDefault="40BDB82B" w:rsidP="00190670">
            <w:pPr>
              <w:pStyle w:val="Bullets"/>
            </w:pPr>
            <w:r>
              <w:t>Conducts retrospectives to evaluate change for continuous team improvement</w:t>
            </w:r>
          </w:p>
          <w:p w14:paraId="561607D4" w14:textId="77777777" w:rsidR="00900058" w:rsidRPr="00190670" w:rsidRDefault="40BDB82B" w:rsidP="40BDB82B">
            <w:pPr>
              <w:spacing w:before="120"/>
              <w:rPr>
                <w:b/>
                <w:bCs/>
              </w:rPr>
            </w:pPr>
            <w:r w:rsidRPr="40BDB82B">
              <w:rPr>
                <w:b/>
                <w:bCs/>
              </w:rPr>
              <w:t>Critical thinking</w:t>
            </w:r>
          </w:p>
          <w:p w14:paraId="26373C10" w14:textId="77777777" w:rsidR="00900058" w:rsidRPr="00190670" w:rsidRDefault="40BDB82B" w:rsidP="00190670">
            <w:pPr>
              <w:pStyle w:val="Bullets"/>
            </w:pPr>
            <w:r w:rsidRPr="40BDB82B">
              <w:t xml:space="preserve">Contributes to </w:t>
            </w:r>
            <w:r>
              <w:t>setting team strategy and converts strategy into an actionable plan. Translates the Beyond Blue vision and strategy to team objectives, activities, and individual goals </w:t>
            </w:r>
          </w:p>
          <w:p w14:paraId="300808CE" w14:textId="77777777" w:rsidR="00900058" w:rsidRPr="00190670" w:rsidRDefault="40BDB82B" w:rsidP="00190670">
            <w:pPr>
              <w:pStyle w:val="Bullets"/>
            </w:pPr>
            <w:r>
              <w:t>Solves problems with an enterprise approach, working across the business to break down work and identify the resources required for the right capability and capacity </w:t>
            </w:r>
          </w:p>
          <w:p w14:paraId="3F469C41" w14:textId="77777777" w:rsidR="00900058" w:rsidRPr="00190670" w:rsidRDefault="40BDB82B" w:rsidP="00190670">
            <w:pPr>
              <w:pStyle w:val="Bullets"/>
            </w:pPr>
            <w:r>
              <w:t>Identifies inconsistencies, biases and errors in reasoning when leveraging data-driven insights to make decision</w:t>
            </w:r>
          </w:p>
          <w:p w14:paraId="12E54627" w14:textId="77777777" w:rsidR="00900058" w:rsidRPr="00190670" w:rsidRDefault="40BDB82B" w:rsidP="00190670">
            <w:pPr>
              <w:pStyle w:val="Bullets"/>
            </w:pPr>
            <w:r>
              <w:t>Proactively identifies risks and mitigation paths when developing or contributing to strategy, planning or problem solving</w:t>
            </w:r>
          </w:p>
          <w:p w14:paraId="00C10629" w14:textId="77777777" w:rsidR="00900058" w:rsidRPr="00900058" w:rsidRDefault="40BDB82B" w:rsidP="40BDB82B">
            <w:pPr>
              <w:pStyle w:val="Bullets"/>
            </w:pPr>
            <w:r>
              <w:t>Applies systemic thinking to understand the root cause of a problem before developing new insights and approaches</w:t>
            </w:r>
            <w:r w:rsidRPr="40BDB82B">
              <w:t xml:space="preserve"> with stakeholders</w:t>
            </w:r>
          </w:p>
          <w:p w14:paraId="08160B05" w14:textId="77777777" w:rsidR="00900058" w:rsidRPr="00190670" w:rsidRDefault="40BDB82B" w:rsidP="40BDB82B">
            <w:pPr>
              <w:spacing w:before="120"/>
              <w:rPr>
                <w:b/>
                <w:bCs/>
              </w:rPr>
            </w:pPr>
            <w:r w:rsidRPr="40BDB82B">
              <w:rPr>
                <w:b/>
                <w:bCs/>
              </w:rPr>
              <w:t>Leading</w:t>
            </w:r>
          </w:p>
          <w:p w14:paraId="50B1742A" w14:textId="77777777" w:rsidR="00900058" w:rsidRPr="00190670" w:rsidRDefault="40BDB82B" w:rsidP="00190670">
            <w:pPr>
              <w:pStyle w:val="Bullets"/>
            </w:pPr>
            <w:r w:rsidRPr="40BDB82B">
              <w:t xml:space="preserve">Is </w:t>
            </w:r>
            <w:r>
              <w:t>bold and courageous in setting team direction, providing clear expectations on target and stretch goals. Adopts a growth mindset when working with others</w:t>
            </w:r>
          </w:p>
          <w:p w14:paraId="42C26130" w14:textId="77777777" w:rsidR="00900058" w:rsidRPr="00190670" w:rsidRDefault="40BDB82B" w:rsidP="00190670">
            <w:pPr>
              <w:pStyle w:val="Bullets"/>
            </w:pPr>
            <w:r>
              <w:t>Embraces diversity and demonstrates inclusive leadership; works to recruit, develop, engage and retain talent and creates a culturally safe atmosphere</w:t>
            </w:r>
          </w:p>
          <w:p w14:paraId="36173C37" w14:textId="77777777" w:rsidR="00900058" w:rsidRPr="00190670" w:rsidRDefault="40BDB82B" w:rsidP="00190670">
            <w:pPr>
              <w:pStyle w:val="Bullets"/>
            </w:pPr>
            <w:r>
              <w:t>Takes responsibility for assigning workloads, monitoring resources and workflows, ensuring team goals are delivered within deadlines</w:t>
            </w:r>
          </w:p>
          <w:p w14:paraId="346DD24A" w14:textId="77777777" w:rsidR="00900058" w:rsidRPr="00190670" w:rsidRDefault="40BDB82B" w:rsidP="00190670">
            <w:pPr>
              <w:pStyle w:val="Bullets"/>
            </w:pPr>
            <w:r>
              <w:t>Adapts coaching style to suit the situation, empowers others and is approachable in providing and receiving timely constructive feedback</w:t>
            </w:r>
          </w:p>
          <w:p w14:paraId="74291F38" w14:textId="77777777" w:rsidR="00900058" w:rsidRPr="00190670" w:rsidRDefault="40BDB82B" w:rsidP="00190670">
            <w:pPr>
              <w:pStyle w:val="Bullets"/>
            </w:pPr>
            <w:r>
              <w:t>Holds regular performance conversations and creates two-way feedback channels to drive improvement; recognises and deals with underperformance effectively </w:t>
            </w:r>
          </w:p>
          <w:p w14:paraId="131DDE25" w14:textId="1D4D9D34" w:rsidR="00CE442D" w:rsidRDefault="00CE442D" w:rsidP="00CE442D">
            <w:pPr>
              <w:pStyle w:val="Bullets"/>
              <w:numPr>
                <w:ilvl w:val="0"/>
                <w:numId w:val="0"/>
              </w:numPr>
              <w:ind w:left="360"/>
            </w:pPr>
          </w:p>
        </w:tc>
      </w:tr>
      <w:tr w:rsidR="003E45A4" w14:paraId="1D9E6CE2" w14:textId="77777777" w:rsidTr="7E4030D6">
        <w:trPr>
          <w:trHeight w:val="228"/>
        </w:trPr>
        <w:tc>
          <w:tcPr>
            <w:tcW w:w="2830" w:type="dxa"/>
            <w:shd w:val="clear" w:color="auto" w:fill="E5F1FE" w:themeFill="accent5"/>
          </w:tcPr>
          <w:p w14:paraId="5788FB1A" w14:textId="697DE71A" w:rsidR="003E45A4" w:rsidRDefault="40BDB82B" w:rsidP="004C3889">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hemeColor="accent1"/>
            </w:tcBorders>
            <w:shd w:val="clear" w:color="auto" w:fill="FFFFFF" w:themeFill="background2"/>
            <w:vAlign w:val="center"/>
          </w:tcPr>
          <w:p w14:paraId="3D15FCD2" w14:textId="33DCE766" w:rsidR="003E45A4" w:rsidRPr="00302F6C" w:rsidRDefault="40BDB82B" w:rsidP="00CD0AE7">
            <w:pPr>
              <w:pStyle w:val="Tableheading"/>
              <w:rPr>
                <w:rFonts w:cstheme="minorHAnsi"/>
                <w:sz w:val="22"/>
              </w:rPr>
            </w:pPr>
            <w:r w:rsidRPr="00302F6C">
              <w:rPr>
                <w:rFonts w:cstheme="minorHAnsi"/>
                <w:sz w:val="22"/>
              </w:rPr>
              <w:t>Education/qualifications</w:t>
            </w:r>
          </w:p>
          <w:p w14:paraId="0ACBB8B3" w14:textId="17761A3B" w:rsidR="00E44B6D" w:rsidRPr="00302F6C" w:rsidRDefault="40BDB82B" w:rsidP="00A74F32">
            <w:pPr>
              <w:pStyle w:val="Bullets"/>
              <w:rPr>
                <w:rFonts w:cstheme="minorHAnsi"/>
              </w:rPr>
            </w:pPr>
            <w:r w:rsidRPr="00302F6C">
              <w:rPr>
                <w:rFonts w:cstheme="minorHAnsi"/>
              </w:rPr>
              <w:t xml:space="preserve">Bachelor’s degree or post graduate studies in Business, Human Resources Management, </w:t>
            </w:r>
            <w:r w:rsidR="00C27593" w:rsidRPr="00302F6C">
              <w:rPr>
                <w:rFonts w:cstheme="minorHAnsi"/>
              </w:rPr>
              <w:t>Leadership, Diversity and Inclusion</w:t>
            </w:r>
          </w:p>
          <w:p w14:paraId="7CA42EC5" w14:textId="77777777" w:rsidR="009F20F8" w:rsidRPr="00302F6C" w:rsidRDefault="40BDB82B" w:rsidP="00CD0AE7">
            <w:pPr>
              <w:pStyle w:val="Tableheading"/>
              <w:rPr>
                <w:rFonts w:cstheme="minorHAnsi"/>
                <w:sz w:val="22"/>
              </w:rPr>
            </w:pPr>
            <w:r w:rsidRPr="00302F6C">
              <w:rPr>
                <w:rFonts w:cstheme="minorHAnsi"/>
                <w:sz w:val="22"/>
              </w:rPr>
              <w:t>Knowledge/skills/experience</w:t>
            </w:r>
          </w:p>
          <w:p w14:paraId="6B061698" w14:textId="77777777" w:rsidR="007F790A" w:rsidRPr="00302F6C" w:rsidRDefault="40BDB82B" w:rsidP="004A749D">
            <w:pPr>
              <w:pStyle w:val="Tablesubheading"/>
              <w:framePr w:hSpace="0" w:wrap="auto" w:vAnchor="margin" w:yAlign="inline"/>
              <w:suppressOverlap w:val="0"/>
            </w:pPr>
            <w:r w:rsidRPr="00302F6C">
              <w:t>Essential</w:t>
            </w:r>
          </w:p>
          <w:p w14:paraId="5C818DA6" w14:textId="77777777" w:rsidR="00DA1DAE" w:rsidRPr="00302F6C" w:rsidRDefault="00DA1DAE" w:rsidP="00DA1DAE">
            <w:pPr>
              <w:pStyle w:val="Bullets"/>
              <w:rPr>
                <w:rFonts w:eastAsia="Times New Roman" w:cstheme="minorHAnsi"/>
              </w:rPr>
            </w:pPr>
            <w:r w:rsidRPr="00302F6C">
              <w:rPr>
                <w:rFonts w:cstheme="minorHAnsi"/>
              </w:rPr>
              <w:t>Proven track record in managing Diversity and Inclusion in complex organisations with multiple stakeholders</w:t>
            </w:r>
          </w:p>
          <w:p w14:paraId="4D50F636" w14:textId="67BBEA32" w:rsidR="005E5A90" w:rsidRPr="00302F6C" w:rsidRDefault="005E5A90" w:rsidP="005E5A90">
            <w:pPr>
              <w:pStyle w:val="Bullets"/>
              <w:rPr>
                <w:rFonts w:cstheme="minorHAnsi"/>
              </w:rPr>
            </w:pPr>
            <w:r w:rsidRPr="00302F6C">
              <w:rPr>
                <w:rFonts w:cstheme="minorHAnsi"/>
              </w:rPr>
              <w:t>Track record in delivering successful O</w:t>
            </w:r>
            <w:r w:rsidR="0079469E">
              <w:rPr>
                <w:rFonts w:cstheme="minorHAnsi"/>
              </w:rPr>
              <w:t xml:space="preserve">rganisation Development </w:t>
            </w:r>
            <w:r w:rsidRPr="00302F6C">
              <w:rPr>
                <w:rFonts w:cstheme="minorHAnsi"/>
              </w:rPr>
              <w:t xml:space="preserve"> projects and supporting major organisational change; influencing, building and sustaining relationships in order to achieve results.  </w:t>
            </w:r>
          </w:p>
          <w:p w14:paraId="6DA90CBF" w14:textId="348E8C3C" w:rsidR="000C0066" w:rsidRPr="00302F6C" w:rsidRDefault="00A74F32" w:rsidP="0022057A">
            <w:pPr>
              <w:pStyle w:val="Bullets"/>
              <w:rPr>
                <w:rFonts w:cstheme="minorHAnsi"/>
              </w:rPr>
            </w:pPr>
            <w:r w:rsidRPr="00302F6C">
              <w:rPr>
                <w:rFonts w:cstheme="minorHAnsi"/>
              </w:rPr>
              <w:t xml:space="preserve">Excellent written and verbal skills with ability to </w:t>
            </w:r>
            <w:r w:rsidR="00E44102" w:rsidRPr="00302F6C">
              <w:rPr>
                <w:rFonts w:cstheme="minorHAnsi"/>
              </w:rPr>
              <w:t>generate compelling</w:t>
            </w:r>
            <w:r w:rsidR="00C93814" w:rsidRPr="00302F6C">
              <w:rPr>
                <w:rFonts w:cstheme="minorHAnsi"/>
              </w:rPr>
              <w:t xml:space="preserve"> </w:t>
            </w:r>
            <w:r w:rsidR="00FE1ADD" w:rsidRPr="00302F6C">
              <w:rPr>
                <w:rFonts w:cstheme="minorHAnsi"/>
              </w:rPr>
              <w:t>‘</w:t>
            </w:r>
            <w:r w:rsidR="001937A1" w:rsidRPr="00302F6C">
              <w:rPr>
                <w:rFonts w:cstheme="minorHAnsi"/>
              </w:rPr>
              <w:t>call to action</w:t>
            </w:r>
            <w:r w:rsidR="00FE1ADD" w:rsidRPr="00302F6C">
              <w:rPr>
                <w:rFonts w:cstheme="minorHAnsi"/>
              </w:rPr>
              <w:t>’</w:t>
            </w:r>
            <w:r w:rsidR="005F3E7B" w:rsidRPr="00302F6C">
              <w:rPr>
                <w:rFonts w:cstheme="minorHAnsi"/>
              </w:rPr>
              <w:t xml:space="preserve"> </w:t>
            </w:r>
            <w:r w:rsidR="000C0066" w:rsidRPr="00302F6C">
              <w:rPr>
                <w:rFonts w:cstheme="minorHAnsi"/>
              </w:rPr>
              <w:t>influenc</w:t>
            </w:r>
            <w:r w:rsidR="001263DC" w:rsidRPr="00302F6C">
              <w:rPr>
                <w:rFonts w:cstheme="minorHAnsi"/>
              </w:rPr>
              <w:t>e</w:t>
            </w:r>
            <w:r w:rsidR="000C0066" w:rsidRPr="00302F6C">
              <w:rPr>
                <w:rFonts w:cstheme="minorHAnsi"/>
              </w:rPr>
              <w:t xml:space="preserve"> and educat</w:t>
            </w:r>
            <w:r w:rsidR="001263DC" w:rsidRPr="00302F6C">
              <w:rPr>
                <w:rFonts w:cstheme="minorHAnsi"/>
              </w:rPr>
              <w:t>e</w:t>
            </w:r>
            <w:r w:rsidR="000C0066" w:rsidRPr="00302F6C">
              <w:rPr>
                <w:rFonts w:cstheme="minorHAnsi"/>
              </w:rPr>
              <w:t>.</w:t>
            </w:r>
          </w:p>
          <w:p w14:paraId="3C5B8CEA" w14:textId="310A8C6A" w:rsidR="00ED6559" w:rsidRPr="00302F6C" w:rsidRDefault="00ED6559" w:rsidP="00ED6559">
            <w:pPr>
              <w:pStyle w:val="Bullets"/>
              <w:rPr>
                <w:rFonts w:cstheme="minorHAnsi"/>
              </w:rPr>
            </w:pPr>
            <w:r w:rsidRPr="00302F6C">
              <w:rPr>
                <w:rFonts w:cstheme="minorHAnsi"/>
              </w:rPr>
              <w:t>Demonstrated ability to analyse the market, scan emerging research and best practise and identify opportunities, insights to develop Diversity and Inclusion change</w:t>
            </w:r>
          </w:p>
          <w:p w14:paraId="7CB98264" w14:textId="27AFB63E" w:rsidR="00DA3A1A" w:rsidRPr="00302F6C" w:rsidRDefault="00DA3A1A" w:rsidP="00FD4747">
            <w:pPr>
              <w:pStyle w:val="Bullets"/>
              <w:rPr>
                <w:rFonts w:cstheme="minorHAnsi"/>
              </w:rPr>
            </w:pPr>
            <w:r w:rsidRPr="00302F6C">
              <w:rPr>
                <w:rFonts w:cstheme="minorHAnsi"/>
                <w:shd w:val="clear" w:color="auto" w:fill="FFFFFF"/>
              </w:rPr>
              <w:t xml:space="preserve">Passion for diversity </w:t>
            </w:r>
            <w:r w:rsidR="00A154A0">
              <w:rPr>
                <w:rFonts w:cstheme="minorHAnsi"/>
                <w:shd w:val="clear" w:color="auto" w:fill="FFFFFF"/>
              </w:rPr>
              <w:t>and</w:t>
            </w:r>
            <w:r w:rsidR="00A154A0" w:rsidRPr="00302F6C">
              <w:rPr>
                <w:rFonts w:cstheme="minorHAnsi"/>
                <w:shd w:val="clear" w:color="auto" w:fill="FFFFFF"/>
              </w:rPr>
              <w:t xml:space="preserve"> </w:t>
            </w:r>
            <w:r w:rsidRPr="00302F6C">
              <w:rPr>
                <w:rFonts w:cstheme="minorHAnsi"/>
                <w:shd w:val="clear" w:color="auto" w:fill="FFFFFF"/>
              </w:rPr>
              <w:t>inclusion and commitment to keep abreast of market data, trends and competitor activity</w:t>
            </w:r>
          </w:p>
          <w:p w14:paraId="627ACB4A" w14:textId="77777777" w:rsidR="00DC1252" w:rsidRPr="00302F6C" w:rsidRDefault="00A74F32" w:rsidP="00EA04F3">
            <w:pPr>
              <w:pStyle w:val="Bullets"/>
              <w:rPr>
                <w:rFonts w:cstheme="minorHAnsi"/>
              </w:rPr>
            </w:pPr>
            <w:r w:rsidRPr="00302F6C">
              <w:rPr>
                <w:rFonts w:cstheme="minorHAnsi"/>
              </w:rPr>
              <w:t>High level of resilience</w:t>
            </w:r>
            <w:r w:rsidR="00DC1252" w:rsidRPr="00302F6C">
              <w:rPr>
                <w:rFonts w:cstheme="minorHAnsi"/>
              </w:rPr>
              <w:t xml:space="preserve"> and ability to manage ambiguity</w:t>
            </w:r>
          </w:p>
          <w:p w14:paraId="64C7D9D0" w14:textId="433548CF" w:rsidR="00A74F32" w:rsidRPr="00302F6C" w:rsidRDefault="00A74F32" w:rsidP="00A74F32">
            <w:pPr>
              <w:pStyle w:val="Bullets"/>
              <w:rPr>
                <w:rFonts w:cstheme="minorHAnsi"/>
              </w:rPr>
            </w:pPr>
            <w:r w:rsidRPr="00302F6C">
              <w:rPr>
                <w:rFonts w:cstheme="minorHAnsi"/>
              </w:rPr>
              <w:t xml:space="preserve">Demonstrated success building </w:t>
            </w:r>
            <w:r w:rsidR="00DC1252" w:rsidRPr="00302F6C">
              <w:rPr>
                <w:rFonts w:cstheme="minorHAnsi"/>
              </w:rPr>
              <w:t xml:space="preserve">strategic and </w:t>
            </w:r>
            <w:r w:rsidR="003410C2" w:rsidRPr="00302F6C">
              <w:rPr>
                <w:rFonts w:cstheme="minorHAnsi"/>
              </w:rPr>
              <w:t xml:space="preserve">trusted </w:t>
            </w:r>
            <w:r w:rsidR="00832B14" w:rsidRPr="00302F6C">
              <w:rPr>
                <w:rFonts w:cstheme="minorHAnsi"/>
              </w:rPr>
              <w:t xml:space="preserve">relationships with </w:t>
            </w:r>
            <w:r w:rsidR="003410C2" w:rsidRPr="00302F6C">
              <w:rPr>
                <w:rFonts w:cstheme="minorHAnsi"/>
              </w:rPr>
              <w:t>both</w:t>
            </w:r>
            <w:r w:rsidR="00832B14" w:rsidRPr="00302F6C">
              <w:rPr>
                <w:rFonts w:cstheme="minorHAnsi"/>
              </w:rPr>
              <w:t xml:space="preserve"> internal and external stakeholders</w:t>
            </w:r>
          </w:p>
          <w:p w14:paraId="7617977A" w14:textId="02F88A0F" w:rsidR="000C0066" w:rsidRPr="00302F6C" w:rsidRDefault="000C0066" w:rsidP="000C0066">
            <w:pPr>
              <w:pStyle w:val="Bullets"/>
              <w:rPr>
                <w:rFonts w:cstheme="minorHAnsi"/>
              </w:rPr>
            </w:pPr>
            <w:r w:rsidRPr="00302F6C">
              <w:rPr>
                <w:rFonts w:cstheme="minorHAnsi"/>
                <w:shd w:val="clear" w:color="auto" w:fill="FFFFFF"/>
              </w:rPr>
              <w:t>Sound business and commercial acumen, thorough understanding of contemporary HR issues to drive success.</w:t>
            </w:r>
          </w:p>
          <w:p w14:paraId="0E84763C" w14:textId="6043DFDE" w:rsidR="000C0066" w:rsidRPr="00302F6C" w:rsidRDefault="00A74F32" w:rsidP="00BF26CF">
            <w:pPr>
              <w:pStyle w:val="Bullets"/>
              <w:rPr>
                <w:rFonts w:cstheme="minorHAnsi"/>
              </w:rPr>
            </w:pPr>
            <w:r w:rsidRPr="00302F6C">
              <w:rPr>
                <w:rFonts w:cstheme="minorHAnsi"/>
              </w:rPr>
              <w:t>Willingness to commit to and work in line with the Beyond Blue Values</w:t>
            </w:r>
          </w:p>
          <w:p w14:paraId="5B51A659" w14:textId="14FCBC19" w:rsidR="00FF2918" w:rsidRPr="00302F6C" w:rsidRDefault="40BDB82B" w:rsidP="00D272DA">
            <w:pPr>
              <w:pStyle w:val="Bullets"/>
              <w:rPr>
                <w:rFonts w:cstheme="minorHAnsi"/>
              </w:rPr>
            </w:pPr>
            <w:r w:rsidRPr="00302F6C">
              <w:rPr>
                <w:rFonts w:cstheme="minorHAnsi"/>
              </w:rPr>
              <w:t>Demonstrated capability to create and lead strategic organisational development initiatives including but not limited to leadership, talent, organisational capability, culture, performance planning and management, inclusion &amp; diversity and change and transformation.</w:t>
            </w:r>
          </w:p>
          <w:p w14:paraId="6980B2AA" w14:textId="77777777" w:rsidR="00E44B6D" w:rsidRPr="00302F6C" w:rsidRDefault="40BDB82B" w:rsidP="00A74F32">
            <w:pPr>
              <w:pStyle w:val="Bullets"/>
              <w:rPr>
                <w:rFonts w:cstheme="minorHAnsi"/>
              </w:rPr>
            </w:pPr>
            <w:r w:rsidRPr="00302F6C">
              <w:rPr>
                <w:rFonts w:cstheme="minorHAnsi"/>
              </w:rPr>
              <w:t>Proven ability to implement programs to drive development and engagement across an organisation.</w:t>
            </w:r>
          </w:p>
          <w:p w14:paraId="54EAEDCC" w14:textId="77777777" w:rsidR="00E44B6D" w:rsidRPr="00302F6C" w:rsidRDefault="40BDB82B" w:rsidP="00A74F32">
            <w:pPr>
              <w:pStyle w:val="Bullets"/>
              <w:rPr>
                <w:rFonts w:cstheme="minorHAnsi"/>
              </w:rPr>
            </w:pPr>
            <w:r w:rsidRPr="00302F6C">
              <w:rPr>
                <w:rFonts w:cstheme="minorHAnsi"/>
              </w:rPr>
              <w:t>Excellent research, analytical and problem solving skills with high level of numeracy and a record of lateral thinking and problem solving skills.</w:t>
            </w:r>
          </w:p>
          <w:p w14:paraId="53B19595" w14:textId="1843C61F" w:rsidR="00E44B6D" w:rsidRPr="00302F6C" w:rsidRDefault="40BDB82B" w:rsidP="00A74F32">
            <w:pPr>
              <w:pStyle w:val="Bullets"/>
              <w:rPr>
                <w:rFonts w:cstheme="minorHAnsi"/>
              </w:rPr>
            </w:pPr>
            <w:r w:rsidRPr="00302F6C">
              <w:rPr>
                <w:rFonts w:cstheme="minorHAnsi"/>
              </w:rPr>
              <w:t xml:space="preserve">Experience in preparation of reports </w:t>
            </w:r>
            <w:r w:rsidR="00E32B0A" w:rsidRPr="00302F6C">
              <w:rPr>
                <w:rFonts w:cstheme="minorHAnsi"/>
              </w:rPr>
              <w:t xml:space="preserve">for </w:t>
            </w:r>
            <w:r w:rsidR="00213C53" w:rsidRPr="00302F6C">
              <w:rPr>
                <w:rFonts w:cstheme="minorHAnsi"/>
              </w:rPr>
              <w:t>Executive</w:t>
            </w:r>
            <w:r w:rsidR="00E32B0A" w:rsidRPr="00302F6C">
              <w:rPr>
                <w:rFonts w:cstheme="minorHAnsi"/>
              </w:rPr>
              <w:t xml:space="preserve"> </w:t>
            </w:r>
            <w:r w:rsidR="00213C53" w:rsidRPr="00302F6C">
              <w:rPr>
                <w:rFonts w:cstheme="minorHAnsi"/>
              </w:rPr>
              <w:t xml:space="preserve">and </w:t>
            </w:r>
            <w:r w:rsidRPr="00302F6C">
              <w:rPr>
                <w:rFonts w:cstheme="minorHAnsi"/>
              </w:rPr>
              <w:t xml:space="preserve">Boards. </w:t>
            </w:r>
          </w:p>
          <w:p w14:paraId="12AF9A50" w14:textId="77777777" w:rsidR="005A0A97" w:rsidRPr="00302F6C" w:rsidRDefault="40BDB82B" w:rsidP="004A749D">
            <w:pPr>
              <w:pStyle w:val="Tablesubheading"/>
              <w:framePr w:hSpace="0" w:wrap="auto" w:vAnchor="margin" w:yAlign="inline"/>
              <w:suppressOverlap w:val="0"/>
            </w:pPr>
            <w:r w:rsidRPr="00302F6C">
              <w:t>Desirable</w:t>
            </w:r>
          </w:p>
          <w:p w14:paraId="6989E6D5" w14:textId="77777777" w:rsidR="00A74A4C" w:rsidRPr="00302F6C" w:rsidRDefault="40BDB82B" w:rsidP="00A74F32">
            <w:pPr>
              <w:pStyle w:val="Bullets"/>
              <w:rPr>
                <w:rFonts w:eastAsiaTheme="minorEastAsia" w:cstheme="minorHAnsi"/>
              </w:rPr>
            </w:pPr>
            <w:r w:rsidRPr="00302F6C">
              <w:rPr>
                <w:rFonts w:cstheme="minorHAnsi"/>
              </w:rPr>
              <w:t>Solid understanding of Fair Work Australia legislation</w:t>
            </w:r>
          </w:p>
          <w:p w14:paraId="45153613" w14:textId="19819470" w:rsidR="005A0A97" w:rsidRPr="00302F6C" w:rsidRDefault="00A74A4C" w:rsidP="00A74F32">
            <w:pPr>
              <w:pStyle w:val="Bullets"/>
              <w:rPr>
                <w:rFonts w:eastAsiaTheme="minorEastAsia" w:cstheme="minorHAnsi"/>
              </w:rPr>
            </w:pPr>
            <w:r w:rsidRPr="00302F6C">
              <w:rPr>
                <w:rFonts w:cstheme="minorHAnsi"/>
              </w:rPr>
              <w:t>Solid understanding of Disability</w:t>
            </w:r>
            <w:r w:rsidR="00DD6BD3" w:rsidRPr="00302F6C">
              <w:rPr>
                <w:rFonts w:cstheme="minorHAnsi"/>
              </w:rPr>
              <w:t xml:space="preserve"> Discrimination Act 1992</w:t>
            </w:r>
          </w:p>
          <w:p w14:paraId="1B284D0E" w14:textId="4B9684AA" w:rsidR="00222F81" w:rsidRPr="00194274" w:rsidRDefault="00222F81" w:rsidP="00A74F32">
            <w:pPr>
              <w:pStyle w:val="Bullets"/>
              <w:rPr>
                <w:rFonts w:eastAsiaTheme="minorEastAsia" w:cstheme="minorHAnsi"/>
                <w:sz w:val="20"/>
                <w:szCs w:val="20"/>
              </w:rPr>
            </w:pPr>
            <w:r w:rsidRPr="00194274">
              <w:rPr>
                <w:rFonts w:eastAsiaTheme="minorEastAsia" w:cstheme="minorHAnsi"/>
                <w:sz w:val="20"/>
                <w:szCs w:val="20"/>
              </w:rPr>
              <w:t>Solid understanding of Equal Opportunity Act 2010</w:t>
            </w:r>
          </w:p>
          <w:p w14:paraId="7BC3B25C" w14:textId="392F51AE" w:rsidR="005A0A97" w:rsidRPr="00194274" w:rsidRDefault="005A0A97" w:rsidP="00CB633A">
            <w:pPr>
              <w:pStyle w:val="Bullets"/>
              <w:numPr>
                <w:ilvl w:val="0"/>
                <w:numId w:val="0"/>
              </w:numPr>
              <w:rPr>
                <w:rFonts w:eastAsiaTheme="minorEastAsia" w:cstheme="minorHAnsi"/>
                <w:sz w:val="20"/>
                <w:szCs w:val="20"/>
              </w:rPr>
            </w:pPr>
          </w:p>
        </w:tc>
      </w:tr>
      <w:tr w:rsidR="00256781" w14:paraId="7B8F0153" w14:textId="77777777" w:rsidTr="7E4030D6">
        <w:trPr>
          <w:trHeight w:val="569"/>
        </w:trPr>
        <w:tc>
          <w:tcPr>
            <w:tcW w:w="9628" w:type="dxa"/>
            <w:gridSpan w:val="6"/>
            <w:shd w:val="clear" w:color="auto" w:fill="FFFFFF" w:themeFill="background2"/>
            <w:vAlign w:val="center"/>
          </w:tcPr>
          <w:p w14:paraId="05251B25" w14:textId="4C97B658" w:rsidR="00256781" w:rsidRDefault="40BDB82B" w:rsidP="00256781">
            <w:pPr>
              <w:pStyle w:val="Tableheading"/>
            </w:pPr>
            <w:r>
              <w:t>Additional information</w:t>
            </w:r>
          </w:p>
        </w:tc>
      </w:tr>
      <w:tr w:rsidR="00674094" w14:paraId="027ABC59" w14:textId="77777777" w:rsidTr="7E4030D6">
        <w:trPr>
          <w:trHeight w:val="228"/>
        </w:trPr>
        <w:tc>
          <w:tcPr>
            <w:tcW w:w="2830" w:type="dxa"/>
            <w:tcBorders>
              <w:bottom w:val="single" w:sz="4" w:space="0" w:color="0070F1" w:themeColor="accent1"/>
            </w:tcBorders>
            <w:shd w:val="clear" w:color="auto" w:fill="E5F1FE" w:themeFill="accent5"/>
          </w:tcPr>
          <w:p w14:paraId="4BBC3C4A" w14:textId="77777777" w:rsidR="00256781" w:rsidRDefault="40BDB82B" w:rsidP="004A749D">
            <w:pPr>
              <w:pStyle w:val="Tablesubheading"/>
              <w:framePr w:hSpace="0" w:wrap="auto" w:vAnchor="margin" w:yAlign="inline"/>
              <w:suppressOverlap w:val="0"/>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40BDB82B" w:rsidP="00256781">
            <w:pPr>
              <w:pStyle w:val="Tableheading"/>
            </w:pPr>
            <w:r>
              <w:t>Health, safety and wellbeing</w:t>
            </w:r>
          </w:p>
          <w:p w14:paraId="44F93802" w14:textId="1504BAEF" w:rsidR="00D203C2" w:rsidRDefault="40BDB82B" w:rsidP="00CD0AE7">
            <w:pPr>
              <w:spacing w:before="120"/>
            </w:pPr>
            <w:r>
              <w:t xml:space="preserve">Beyond Blue is committed to ensuring the physical and psychological health and safety of all employees, contractors and other people </w:t>
            </w:r>
            <w:r>
              <w:lastRenderedPageBreak/>
              <w:t>involved in our business activities. Our people are expected to comply with our Health, Safety and Wellbeing policy.</w:t>
            </w:r>
          </w:p>
          <w:p w14:paraId="1810A267" w14:textId="273E6039" w:rsidR="00D203C2" w:rsidRPr="003C268D" w:rsidRDefault="40BDB82B" w:rsidP="00256781">
            <w:pPr>
              <w:pStyle w:val="Tableheading"/>
            </w:pPr>
            <w:r>
              <w:t>Equal opportunity</w:t>
            </w:r>
          </w:p>
          <w:p w14:paraId="513313F9" w14:textId="0823FCF9" w:rsidR="00D203C2" w:rsidRPr="003C268D" w:rsidRDefault="40BDB82B" w:rsidP="40BDB82B">
            <w:pPr>
              <w:spacing w:before="120"/>
            </w:pPr>
            <w:r w:rsidRPr="40BDB82B">
              <w:t>Beyond Blue is an equal opportunity employer. All employees have a responsibility to be familiar with and adhere to the organisation’s policies and procedures.</w:t>
            </w:r>
          </w:p>
          <w:p w14:paraId="2F920708" w14:textId="61B03A48" w:rsidR="00D203C2" w:rsidRDefault="40BDB82B" w:rsidP="00256781">
            <w:pPr>
              <w:pStyle w:val="Tableheading"/>
            </w:pPr>
            <w:r>
              <w:t xml:space="preserve">Cultural competency </w:t>
            </w:r>
          </w:p>
          <w:p w14:paraId="10249401" w14:textId="6D99D6A7" w:rsidR="00D203C2" w:rsidRPr="003C268D" w:rsidRDefault="40BDB82B" w:rsidP="40BDB82B">
            <w:pPr>
              <w:spacing w:before="120"/>
            </w:pPr>
            <w:r w:rsidRPr="40BDB82B">
              <w:t>Beyond Blue strives to maintain a culturally competent and inclusive workplace. All employees are expected to undergo regular cultural competency training as part of their professional development plans.</w:t>
            </w:r>
          </w:p>
          <w:p w14:paraId="664E9286" w14:textId="6848F99E" w:rsidR="00D203C2" w:rsidRPr="003C268D" w:rsidRDefault="40BDB82B" w:rsidP="00256781">
            <w:pPr>
              <w:pStyle w:val="Tableheading"/>
            </w:pPr>
            <w:r>
              <w:t>Employment is subject to:</w:t>
            </w:r>
          </w:p>
          <w:p w14:paraId="691BBA45" w14:textId="63E7EB0A" w:rsidR="00D203C2" w:rsidRDefault="40BDB82B" w:rsidP="00CD0AE7">
            <w:pPr>
              <w:pStyle w:val="Bullets"/>
            </w:pPr>
            <w:r>
              <w:t>a current Police Record Check</w:t>
            </w:r>
          </w:p>
          <w:p w14:paraId="3EE56C5B" w14:textId="58758223" w:rsidR="00CD0AE7" w:rsidRPr="00D203C2" w:rsidRDefault="40BDB82B" w:rsidP="0059629F">
            <w:pPr>
              <w:pStyle w:val="Bullets"/>
            </w:pPr>
            <w:r>
              <w:t>proof of the right to work in Australia.</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B15A" w14:textId="77777777" w:rsidR="00AB206D" w:rsidRDefault="00AB206D" w:rsidP="003916DB">
      <w:pPr>
        <w:spacing w:after="0"/>
      </w:pPr>
      <w:r>
        <w:separator/>
      </w:r>
    </w:p>
  </w:endnote>
  <w:endnote w:type="continuationSeparator" w:id="0">
    <w:p w14:paraId="19438713" w14:textId="77777777" w:rsidR="00AB206D" w:rsidRDefault="00AB206D" w:rsidP="003916DB">
      <w:pPr>
        <w:spacing w:after="0"/>
      </w:pPr>
      <w:r>
        <w:continuationSeparator/>
      </w:r>
    </w:p>
  </w:endnote>
  <w:endnote w:type="continuationNotice" w:id="1">
    <w:p w14:paraId="2CBFA1CB" w14:textId="77777777" w:rsidR="00AB206D" w:rsidRDefault="00AB20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66C7CB0F"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D65BA3">
      <w:rPr>
        <w:noProof/>
        <w:color w:val="0070F1" w:themeColor="accent1"/>
        <w:sz w:val="16"/>
        <w:szCs w:val="16"/>
      </w:rPr>
      <w:t>7</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40BDB82B">
      <w:tc>
        <w:tcPr>
          <w:tcW w:w="1555" w:type="dxa"/>
        </w:tcPr>
        <w:p w14:paraId="30C788C0" w14:textId="7118BCC5" w:rsidR="004C3889" w:rsidRPr="00332AB7" w:rsidRDefault="40BDB82B" w:rsidP="40BDB82B">
          <w:pPr>
            <w:pStyle w:val="Footer"/>
            <w:rPr>
              <w:sz w:val="16"/>
              <w:szCs w:val="16"/>
              <w:lang w:val="en-US"/>
            </w:rPr>
          </w:pPr>
          <w:r w:rsidRPr="40BDB82B">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40BDB82B" w:rsidP="40BDB82B">
          <w:pPr>
            <w:pStyle w:val="Footer"/>
            <w:rPr>
              <w:sz w:val="16"/>
              <w:szCs w:val="16"/>
              <w:lang w:val="en-US"/>
            </w:rPr>
          </w:pPr>
          <w:r w:rsidRPr="40BDB82B">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40BDB82B">
      <w:trPr>
        <w:trHeight w:val="80"/>
      </w:trPr>
      <w:tc>
        <w:tcPr>
          <w:tcW w:w="1555" w:type="dxa"/>
        </w:tcPr>
        <w:p w14:paraId="4A94EAB9" w14:textId="6A1BDFC9" w:rsidR="004C3889" w:rsidRPr="00332AB7" w:rsidRDefault="40BDB82B" w:rsidP="40BDB82B">
          <w:pPr>
            <w:pStyle w:val="Footer"/>
            <w:rPr>
              <w:sz w:val="16"/>
              <w:szCs w:val="16"/>
              <w:lang w:val="en-US"/>
            </w:rPr>
          </w:pPr>
          <w:r w:rsidRPr="40BDB82B">
            <w:rPr>
              <w:sz w:val="16"/>
              <w:szCs w:val="16"/>
              <w:lang w:val="en-US"/>
            </w:rPr>
            <w:t>Approved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40BDB82B" w:rsidP="40BDB82B">
          <w:pPr>
            <w:pStyle w:val="Footer"/>
            <w:rPr>
              <w:sz w:val="16"/>
              <w:szCs w:val="16"/>
              <w:lang w:val="en-US"/>
            </w:rPr>
          </w:pPr>
          <w:r w:rsidRPr="40BDB82B">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581307B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D65BA3">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40BDB82B">
      <w:tc>
        <w:tcPr>
          <w:tcW w:w="1371" w:type="dxa"/>
        </w:tcPr>
        <w:p w14:paraId="29E6FAAB" w14:textId="77777777" w:rsidR="00332AB7" w:rsidRPr="00332AB7" w:rsidRDefault="40BDB82B" w:rsidP="40BDB82B">
          <w:pPr>
            <w:pStyle w:val="Footer"/>
            <w:rPr>
              <w:sz w:val="16"/>
              <w:szCs w:val="16"/>
              <w:lang w:val="en-US"/>
            </w:rPr>
          </w:pPr>
          <w:r w:rsidRPr="40BDB82B">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40BDB82B" w:rsidP="40BDB82B">
          <w:pPr>
            <w:pStyle w:val="Footer"/>
            <w:rPr>
              <w:sz w:val="16"/>
              <w:szCs w:val="16"/>
              <w:lang w:val="en-US"/>
            </w:rPr>
          </w:pPr>
          <w:r w:rsidRPr="40BDB82B">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40BDB82B">
      <w:tc>
        <w:tcPr>
          <w:tcW w:w="1371" w:type="dxa"/>
        </w:tcPr>
        <w:p w14:paraId="704D607A" w14:textId="77777777" w:rsidR="00332AB7" w:rsidRPr="00332AB7" w:rsidRDefault="40BDB82B" w:rsidP="40BDB82B">
          <w:pPr>
            <w:pStyle w:val="Footer"/>
            <w:rPr>
              <w:sz w:val="16"/>
              <w:szCs w:val="16"/>
              <w:lang w:val="en-US"/>
            </w:rPr>
          </w:pPr>
          <w:r w:rsidRPr="40BDB82B">
            <w:rPr>
              <w:sz w:val="16"/>
              <w:szCs w:val="16"/>
              <w:lang w:val="en-US"/>
            </w:rPr>
            <w:t>Approved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40BDB82B" w:rsidP="40BDB82B">
          <w:pPr>
            <w:pStyle w:val="Footer"/>
            <w:rPr>
              <w:sz w:val="16"/>
              <w:szCs w:val="16"/>
              <w:lang w:val="en-US"/>
            </w:rPr>
          </w:pPr>
          <w:r w:rsidRPr="40BDB82B">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4BF9" w14:textId="77777777" w:rsidR="00AB206D" w:rsidRDefault="00AB206D" w:rsidP="003916DB">
      <w:pPr>
        <w:spacing w:after="0"/>
      </w:pPr>
      <w:r>
        <w:separator/>
      </w:r>
    </w:p>
  </w:footnote>
  <w:footnote w:type="continuationSeparator" w:id="0">
    <w:p w14:paraId="7671D89D" w14:textId="77777777" w:rsidR="00AB206D" w:rsidRDefault="00AB206D" w:rsidP="003916DB">
      <w:pPr>
        <w:spacing w:after="0"/>
      </w:pPr>
      <w:r>
        <w:continuationSeparator/>
      </w:r>
    </w:p>
  </w:footnote>
  <w:footnote w:type="continuationNotice" w:id="1">
    <w:p w14:paraId="15E6A86E" w14:textId="77777777" w:rsidR="00AB206D" w:rsidRDefault="00AB20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7E2DBD"/>
    <w:multiLevelType w:val="hybridMultilevel"/>
    <w:tmpl w:val="BD249B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2347BD"/>
    <w:multiLevelType w:val="hybridMultilevel"/>
    <w:tmpl w:val="E146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CC296E"/>
    <w:multiLevelType w:val="hybridMultilevel"/>
    <w:tmpl w:val="BBA8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6"/>
  </w:num>
  <w:num w:numId="4">
    <w:abstractNumId w:val="7"/>
  </w:num>
  <w:num w:numId="5">
    <w:abstractNumId w:val="0"/>
  </w:num>
  <w:num w:numId="6">
    <w:abstractNumId w:val="3"/>
  </w:num>
  <w:num w:numId="7">
    <w:abstractNumId w:val="6"/>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3"/>
  </w:num>
  <w:num w:numId="13">
    <w:abstractNumId w:val="2"/>
  </w:num>
  <w:num w:numId="14">
    <w:abstractNumId w:val="15"/>
  </w:num>
  <w:num w:numId="15">
    <w:abstractNumId w:val="8"/>
  </w:num>
  <w:num w:numId="16">
    <w:abstractNumId w:val="9"/>
  </w:num>
  <w:num w:numId="17">
    <w:abstractNumId w:val="4"/>
  </w:num>
  <w:num w:numId="18">
    <w:abstractNumId w:val="17"/>
  </w:num>
  <w:num w:numId="19">
    <w:abstractNumId w:val="5"/>
  </w:num>
  <w:num w:numId="20">
    <w:abstractNumId w:val="1"/>
  </w:num>
  <w:num w:numId="21">
    <w:abstractNumId w:val="19"/>
  </w:num>
  <w:num w:numId="22">
    <w:abstractNumId w:val="18"/>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1"/>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22B07"/>
    <w:rsid w:val="00022EF2"/>
    <w:rsid w:val="00044733"/>
    <w:rsid w:val="0006646A"/>
    <w:rsid w:val="00072BF5"/>
    <w:rsid w:val="0007431E"/>
    <w:rsid w:val="000C0066"/>
    <w:rsid w:val="000C625D"/>
    <w:rsid w:val="000D0899"/>
    <w:rsid w:val="000D5279"/>
    <w:rsid w:val="000D53F6"/>
    <w:rsid w:val="000E5075"/>
    <w:rsid w:val="0010491B"/>
    <w:rsid w:val="001113E1"/>
    <w:rsid w:val="001160EF"/>
    <w:rsid w:val="00120E32"/>
    <w:rsid w:val="00121EE3"/>
    <w:rsid w:val="00125E28"/>
    <w:rsid w:val="001263DC"/>
    <w:rsid w:val="00130775"/>
    <w:rsid w:val="001443F7"/>
    <w:rsid w:val="00155F76"/>
    <w:rsid w:val="00171AB2"/>
    <w:rsid w:val="001878A9"/>
    <w:rsid w:val="00187D52"/>
    <w:rsid w:val="00190670"/>
    <w:rsid w:val="001937A1"/>
    <w:rsid w:val="00194274"/>
    <w:rsid w:val="001A7AE8"/>
    <w:rsid w:val="001B7159"/>
    <w:rsid w:val="001C3346"/>
    <w:rsid w:val="001C3D56"/>
    <w:rsid w:val="001C7EA5"/>
    <w:rsid w:val="001D033D"/>
    <w:rsid w:val="001D313D"/>
    <w:rsid w:val="001D31B6"/>
    <w:rsid w:val="001F4E8D"/>
    <w:rsid w:val="00213C53"/>
    <w:rsid w:val="00222F81"/>
    <w:rsid w:val="0023597D"/>
    <w:rsid w:val="00252693"/>
    <w:rsid w:val="00254D0F"/>
    <w:rsid w:val="00256781"/>
    <w:rsid w:val="002617CD"/>
    <w:rsid w:val="0027006E"/>
    <w:rsid w:val="002858B1"/>
    <w:rsid w:val="002B2562"/>
    <w:rsid w:val="002B3083"/>
    <w:rsid w:val="002C4D09"/>
    <w:rsid w:val="002F5AD8"/>
    <w:rsid w:val="002F69C1"/>
    <w:rsid w:val="002F7A18"/>
    <w:rsid w:val="00302F6C"/>
    <w:rsid w:val="003116EB"/>
    <w:rsid w:val="00331189"/>
    <w:rsid w:val="00332AB7"/>
    <w:rsid w:val="003410C2"/>
    <w:rsid w:val="003437AB"/>
    <w:rsid w:val="00356625"/>
    <w:rsid w:val="003730C2"/>
    <w:rsid w:val="0037388E"/>
    <w:rsid w:val="003746D0"/>
    <w:rsid w:val="00377FE4"/>
    <w:rsid w:val="00380BCA"/>
    <w:rsid w:val="00383A73"/>
    <w:rsid w:val="003861F1"/>
    <w:rsid w:val="003916DB"/>
    <w:rsid w:val="0039612C"/>
    <w:rsid w:val="003D2802"/>
    <w:rsid w:val="003E45A4"/>
    <w:rsid w:val="003E612B"/>
    <w:rsid w:val="003F147A"/>
    <w:rsid w:val="004156DF"/>
    <w:rsid w:val="00417317"/>
    <w:rsid w:val="004262D3"/>
    <w:rsid w:val="0044277E"/>
    <w:rsid w:val="0044320C"/>
    <w:rsid w:val="004442B1"/>
    <w:rsid w:val="004448B6"/>
    <w:rsid w:val="0044723C"/>
    <w:rsid w:val="004546A9"/>
    <w:rsid w:val="00455F06"/>
    <w:rsid w:val="004634CF"/>
    <w:rsid w:val="00470D2A"/>
    <w:rsid w:val="00471964"/>
    <w:rsid w:val="00480E54"/>
    <w:rsid w:val="00482104"/>
    <w:rsid w:val="004844BE"/>
    <w:rsid w:val="004A3DE2"/>
    <w:rsid w:val="004A749D"/>
    <w:rsid w:val="004B11BD"/>
    <w:rsid w:val="004B4768"/>
    <w:rsid w:val="004C1DC0"/>
    <w:rsid w:val="004C3099"/>
    <w:rsid w:val="004C3889"/>
    <w:rsid w:val="004E09DF"/>
    <w:rsid w:val="004E4128"/>
    <w:rsid w:val="004E47E4"/>
    <w:rsid w:val="004F33D7"/>
    <w:rsid w:val="00511EC2"/>
    <w:rsid w:val="005414D2"/>
    <w:rsid w:val="0054190F"/>
    <w:rsid w:val="0055261E"/>
    <w:rsid w:val="00554268"/>
    <w:rsid w:val="005622D7"/>
    <w:rsid w:val="00562C2C"/>
    <w:rsid w:val="00563BA9"/>
    <w:rsid w:val="00571C0C"/>
    <w:rsid w:val="00577782"/>
    <w:rsid w:val="00583C96"/>
    <w:rsid w:val="00592403"/>
    <w:rsid w:val="005939FA"/>
    <w:rsid w:val="0059629F"/>
    <w:rsid w:val="005A0A97"/>
    <w:rsid w:val="005A2CB2"/>
    <w:rsid w:val="005A4BDD"/>
    <w:rsid w:val="005B0A74"/>
    <w:rsid w:val="005E5A90"/>
    <w:rsid w:val="005F0347"/>
    <w:rsid w:val="005F3E7B"/>
    <w:rsid w:val="005F708E"/>
    <w:rsid w:val="00607A30"/>
    <w:rsid w:val="006101A7"/>
    <w:rsid w:val="00610E7B"/>
    <w:rsid w:val="00623DCF"/>
    <w:rsid w:val="00625FAF"/>
    <w:rsid w:val="00626E50"/>
    <w:rsid w:val="00674094"/>
    <w:rsid w:val="00684A3E"/>
    <w:rsid w:val="00696541"/>
    <w:rsid w:val="006A3AFE"/>
    <w:rsid w:val="006C572D"/>
    <w:rsid w:val="006C6BD4"/>
    <w:rsid w:val="006D1419"/>
    <w:rsid w:val="006D5560"/>
    <w:rsid w:val="006D5755"/>
    <w:rsid w:val="00700EF5"/>
    <w:rsid w:val="00704F5E"/>
    <w:rsid w:val="0071143C"/>
    <w:rsid w:val="00711871"/>
    <w:rsid w:val="0073578F"/>
    <w:rsid w:val="00741113"/>
    <w:rsid w:val="00741EBB"/>
    <w:rsid w:val="007532C3"/>
    <w:rsid w:val="00755863"/>
    <w:rsid w:val="0075638E"/>
    <w:rsid w:val="00763C41"/>
    <w:rsid w:val="0077758E"/>
    <w:rsid w:val="00777DCD"/>
    <w:rsid w:val="00782B81"/>
    <w:rsid w:val="0079469E"/>
    <w:rsid w:val="007B0FA6"/>
    <w:rsid w:val="007B3215"/>
    <w:rsid w:val="007C6E56"/>
    <w:rsid w:val="007E44FB"/>
    <w:rsid w:val="007F790A"/>
    <w:rsid w:val="00802F3C"/>
    <w:rsid w:val="00827C0E"/>
    <w:rsid w:val="00832B14"/>
    <w:rsid w:val="00847DE6"/>
    <w:rsid w:val="0086389A"/>
    <w:rsid w:val="008672DD"/>
    <w:rsid w:val="00867CB8"/>
    <w:rsid w:val="00872A79"/>
    <w:rsid w:val="008731B5"/>
    <w:rsid w:val="008746EA"/>
    <w:rsid w:val="0089270A"/>
    <w:rsid w:val="008A387A"/>
    <w:rsid w:val="008A3AC0"/>
    <w:rsid w:val="008E2595"/>
    <w:rsid w:val="008E3CA3"/>
    <w:rsid w:val="008F07EF"/>
    <w:rsid w:val="008F55C0"/>
    <w:rsid w:val="00900058"/>
    <w:rsid w:val="00902532"/>
    <w:rsid w:val="0091382D"/>
    <w:rsid w:val="0091721B"/>
    <w:rsid w:val="00917E51"/>
    <w:rsid w:val="00920B89"/>
    <w:rsid w:val="00924842"/>
    <w:rsid w:val="00934904"/>
    <w:rsid w:val="00941DF1"/>
    <w:rsid w:val="0095511B"/>
    <w:rsid w:val="00960A0C"/>
    <w:rsid w:val="00964219"/>
    <w:rsid w:val="009756D4"/>
    <w:rsid w:val="00976C8A"/>
    <w:rsid w:val="00981E9B"/>
    <w:rsid w:val="00994D02"/>
    <w:rsid w:val="009B39C9"/>
    <w:rsid w:val="009C6F9F"/>
    <w:rsid w:val="009D4B99"/>
    <w:rsid w:val="009D783A"/>
    <w:rsid w:val="009E01C1"/>
    <w:rsid w:val="009F20F8"/>
    <w:rsid w:val="00A154A0"/>
    <w:rsid w:val="00A200B8"/>
    <w:rsid w:val="00A25749"/>
    <w:rsid w:val="00A46C60"/>
    <w:rsid w:val="00A60B8A"/>
    <w:rsid w:val="00A62975"/>
    <w:rsid w:val="00A6489F"/>
    <w:rsid w:val="00A72F3F"/>
    <w:rsid w:val="00A739FC"/>
    <w:rsid w:val="00A74A4C"/>
    <w:rsid w:val="00A74F32"/>
    <w:rsid w:val="00A95542"/>
    <w:rsid w:val="00AB206D"/>
    <w:rsid w:val="00AB6B47"/>
    <w:rsid w:val="00AC0079"/>
    <w:rsid w:val="00AD6B5A"/>
    <w:rsid w:val="00AE1F14"/>
    <w:rsid w:val="00B00E74"/>
    <w:rsid w:val="00B030C0"/>
    <w:rsid w:val="00B176DC"/>
    <w:rsid w:val="00B24CF6"/>
    <w:rsid w:val="00B35500"/>
    <w:rsid w:val="00B36BBB"/>
    <w:rsid w:val="00B4570E"/>
    <w:rsid w:val="00B70B3D"/>
    <w:rsid w:val="00B71144"/>
    <w:rsid w:val="00B74C62"/>
    <w:rsid w:val="00BA7956"/>
    <w:rsid w:val="00BB2C39"/>
    <w:rsid w:val="00BB5C9A"/>
    <w:rsid w:val="00BF26CF"/>
    <w:rsid w:val="00BF6BD4"/>
    <w:rsid w:val="00C03748"/>
    <w:rsid w:val="00C217DC"/>
    <w:rsid w:val="00C27593"/>
    <w:rsid w:val="00C54E98"/>
    <w:rsid w:val="00C55667"/>
    <w:rsid w:val="00C65EE0"/>
    <w:rsid w:val="00C729E9"/>
    <w:rsid w:val="00C75468"/>
    <w:rsid w:val="00C93814"/>
    <w:rsid w:val="00CB0D7B"/>
    <w:rsid w:val="00CB633A"/>
    <w:rsid w:val="00CC1E4C"/>
    <w:rsid w:val="00CD0AE7"/>
    <w:rsid w:val="00CE3AD1"/>
    <w:rsid w:val="00CE442D"/>
    <w:rsid w:val="00CF18BD"/>
    <w:rsid w:val="00CF26B9"/>
    <w:rsid w:val="00D00EE1"/>
    <w:rsid w:val="00D056DD"/>
    <w:rsid w:val="00D203C2"/>
    <w:rsid w:val="00D22230"/>
    <w:rsid w:val="00D272CC"/>
    <w:rsid w:val="00D272DA"/>
    <w:rsid w:val="00D353CB"/>
    <w:rsid w:val="00D42673"/>
    <w:rsid w:val="00D460BE"/>
    <w:rsid w:val="00D56D08"/>
    <w:rsid w:val="00D600AB"/>
    <w:rsid w:val="00D65BA3"/>
    <w:rsid w:val="00D72C9B"/>
    <w:rsid w:val="00DA1DAE"/>
    <w:rsid w:val="00DA3A1A"/>
    <w:rsid w:val="00DA448F"/>
    <w:rsid w:val="00DB4F54"/>
    <w:rsid w:val="00DB7D13"/>
    <w:rsid w:val="00DC1252"/>
    <w:rsid w:val="00DD1FB8"/>
    <w:rsid w:val="00DD5F3B"/>
    <w:rsid w:val="00DD6BD3"/>
    <w:rsid w:val="00DF70F0"/>
    <w:rsid w:val="00E05DE7"/>
    <w:rsid w:val="00E060A5"/>
    <w:rsid w:val="00E065A2"/>
    <w:rsid w:val="00E07FE4"/>
    <w:rsid w:val="00E11131"/>
    <w:rsid w:val="00E14AE7"/>
    <w:rsid w:val="00E32B0A"/>
    <w:rsid w:val="00E44102"/>
    <w:rsid w:val="00E44B6D"/>
    <w:rsid w:val="00E5001F"/>
    <w:rsid w:val="00E5003D"/>
    <w:rsid w:val="00E6049B"/>
    <w:rsid w:val="00E6101D"/>
    <w:rsid w:val="00E66959"/>
    <w:rsid w:val="00E83370"/>
    <w:rsid w:val="00E83C9F"/>
    <w:rsid w:val="00EA4E29"/>
    <w:rsid w:val="00EB5C82"/>
    <w:rsid w:val="00EC64E7"/>
    <w:rsid w:val="00ED6559"/>
    <w:rsid w:val="00EE1E67"/>
    <w:rsid w:val="00EE3A08"/>
    <w:rsid w:val="00F00420"/>
    <w:rsid w:val="00F06B31"/>
    <w:rsid w:val="00F267E7"/>
    <w:rsid w:val="00F2764F"/>
    <w:rsid w:val="00F3534C"/>
    <w:rsid w:val="00F639B7"/>
    <w:rsid w:val="00F65EAF"/>
    <w:rsid w:val="00F8260C"/>
    <w:rsid w:val="00F83299"/>
    <w:rsid w:val="00F8754C"/>
    <w:rsid w:val="00FB0A8E"/>
    <w:rsid w:val="00FC620D"/>
    <w:rsid w:val="00FD4747"/>
    <w:rsid w:val="00FE09A2"/>
    <w:rsid w:val="00FE1ADD"/>
    <w:rsid w:val="00FE4CA1"/>
    <w:rsid w:val="00FF2918"/>
    <w:rsid w:val="00FF397E"/>
    <w:rsid w:val="03A5E205"/>
    <w:rsid w:val="40BDB82B"/>
    <w:rsid w:val="5B86B3CE"/>
    <w:rsid w:val="6BEA2FC5"/>
    <w:rsid w:val="6E1C049A"/>
    <w:rsid w:val="7A05F02A"/>
    <w:rsid w:val="7E4030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A749D"/>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A749D"/>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4A749D"/>
    <w:pPr>
      <w:framePr w:hSpace="180" w:wrap="around" w:vAnchor="text" w:hAnchor="text" w:y="1"/>
      <w:spacing w:before="40"/>
      <w:suppressOverlap/>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4A749D"/>
    <w:rPr>
      <w:b/>
      <w:color w:val="0070F1"/>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5008">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64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zopardi\Downloads\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75CA-2485-4158-A786-B653DE520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3.xml><?xml version="1.0" encoding="utf-8"?>
<ds:datastoreItem xmlns:ds="http://schemas.openxmlformats.org/officeDocument/2006/customXml" ds:itemID="{AC0E9457-FEDB-4A05-8456-E718B0338CC2}">
  <ds:schemaRefs>
    <ds:schemaRef ds:uri="6df2b253-b5eb-483d-ba28-49f93a53811d"/>
    <ds:schemaRef ds:uri="http://schemas.openxmlformats.org/package/2006/metadata/core-properties"/>
    <ds:schemaRef ds:uri="http://purl.org/dc/terms/"/>
    <ds:schemaRef ds:uri="http://www.w3.org/XML/1998/namespace"/>
    <ds:schemaRef ds:uri="17b16522-45cd-4ce3-bc60-f11d097248c4"/>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6B02DA0-67CA-4C97-A6A9-7FF6D3FD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Position Description 100_Employee Experience and Wellness Lead_31032022</vt:lpstr>
    </vt:vector>
  </TitlesOfParts>
  <Company>Microsoft</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100_Employee Experience and Wellness Lead_31032022</dc:title>
  <dc:creator>Aimee Bailey</dc:creator>
  <cp:lastModifiedBy>Renee Russo</cp:lastModifiedBy>
  <cp:revision>2</cp:revision>
  <dcterms:created xsi:type="dcterms:W3CDTF">2022-06-06T03:35:00Z</dcterms:created>
  <dcterms:modified xsi:type="dcterms:W3CDTF">2022-06-06T03:35:00Z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_CopySource">
    <vt:lpwstr>https://connect.mercer.com/sites/Beyond Blue Position Descriptions/Shared Documents/Mercer_Completed PDs/100/People and Culture/Position Description 100_Employee Experience and Wellness Lead_31032022.docx</vt:lpwstr>
  </property>
  <property fmtid="{D5CDD505-2E9C-101B-9397-08002B2CF9AE}" pid="11" name="MSIP_Label_38f1469a-2c2a-4aee-b92b-090d4c5468ff_Enabled">
    <vt:lpwstr>true</vt:lpwstr>
  </property>
  <property fmtid="{D5CDD505-2E9C-101B-9397-08002B2CF9AE}" pid="12" name="MSIP_Label_38f1469a-2c2a-4aee-b92b-090d4c5468ff_SetDate">
    <vt:lpwstr>2022-03-31T10:49:15Z</vt:lpwstr>
  </property>
  <property fmtid="{D5CDD505-2E9C-101B-9397-08002B2CF9AE}" pid="13" name="MSIP_Label_38f1469a-2c2a-4aee-b92b-090d4c5468ff_Method">
    <vt:lpwstr>Standard</vt:lpwstr>
  </property>
  <property fmtid="{D5CDD505-2E9C-101B-9397-08002B2CF9AE}" pid="14" name="MSIP_Label_38f1469a-2c2a-4aee-b92b-090d4c5468ff_Name">
    <vt:lpwstr>Confidential - Unmarked</vt:lpwstr>
  </property>
  <property fmtid="{D5CDD505-2E9C-101B-9397-08002B2CF9AE}" pid="15" name="MSIP_Label_38f1469a-2c2a-4aee-b92b-090d4c5468ff_SiteId">
    <vt:lpwstr>2a6e6092-73e4-4752-b1a5-477a17f5056d</vt:lpwstr>
  </property>
  <property fmtid="{D5CDD505-2E9C-101B-9397-08002B2CF9AE}" pid="16" name="MSIP_Label_38f1469a-2c2a-4aee-b92b-090d4c5468ff_ActionId">
    <vt:lpwstr>2e26d226-d614-49ef-b0fc-c6320d62e357</vt:lpwstr>
  </property>
  <property fmtid="{D5CDD505-2E9C-101B-9397-08002B2CF9AE}" pid="17" name="MSIP_Label_38f1469a-2c2a-4aee-b92b-090d4c5468ff_ContentBits">
    <vt:lpwstr>0</vt:lpwstr>
  </property>
</Properties>
</file>